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ФРФТ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u w:val="single"/>
          <w:lang w:eastAsia="en-US" w:bidi="ar-SA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40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04011324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9</Pages>
  <Words>387</Words>
  <Characters>3005</Characters>
  <CharactersWithSpaces>3561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2025-08-26T14:03:55Z</dcterms:modified>
  <cp:revision>15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