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финансовых рынков и финансового инжиниринга Финансового факультета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Финансового университета при Правительстве 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</w:t>
        <w:br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магистратуры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направленности программы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</w:rPr>
        <w:t xml:space="preserve">»__________________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дат</w:t>
      </w:r>
      <w:r>
        <w:rPr>
          <w:sz w:val="24"/>
          <w:szCs w:val="24"/>
        </w:rPr>
        <w:t>.падеже)</w:t>
      </w:r>
      <w:r>
        <w:rPr>
          <w:sz w:val="28"/>
          <w:szCs w:val="28"/>
        </w:rPr>
        <w:t xml:space="preserve">, будет предоставлена возможность пройти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учебную, производственную</w:t>
      </w:r>
      <w:r>
        <w:rPr>
          <w:sz w:val="28"/>
          <w:szCs w:val="28"/>
        </w:rPr>
        <w:t xml:space="preserve">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133</Words>
  <Characters>1195</Characters>
  <CharactersWithSpaces>1587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2025-09-19T16:58:43Z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