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spacing w:lineRule="auto" w:line="240" w:beforeAutospacing="0" w:before="0" w:afterAutospacing="0" w:after="0"/>
        <w:jc w:val="center"/>
        <w:rPr/>
      </w:pPr>
      <w:bookmarkStart w:id="0" w:name="_GoBack"/>
      <w:bookmarkEnd w:id="0"/>
      <w:r>
        <w:rPr>
          <w:rStyle w:val="Strong"/>
          <w:color w:val="000000"/>
          <w:sz w:val="32"/>
          <w:szCs w:val="32"/>
        </w:rPr>
        <w:t xml:space="preserve">График подготовки </w:t>
      </w:r>
      <w:r>
        <w:rPr>
          <w:rStyle w:val="Strong"/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ВКР </w:t>
      </w:r>
      <w:r>
        <w:rPr>
          <w:rStyle w:val="Strong"/>
          <w:color w:val="000000"/>
          <w:sz w:val="32"/>
          <w:szCs w:val="32"/>
        </w:rPr>
        <w:t xml:space="preserve">по программам </w:t>
      </w:r>
      <w:r>
        <w:rPr>
          <w:rStyle w:val="Strong"/>
          <w:rFonts w:eastAsia="Times New Roman" w:cs="Times New Roman"/>
          <w:b/>
          <w:bCs/>
          <w:color w:val="000000"/>
          <w:kern w:val="0"/>
          <w:sz w:val="32"/>
          <w:szCs w:val="32"/>
          <w:lang w:val="ru-RU" w:eastAsia="ru-RU" w:bidi="ar-SA"/>
        </w:rPr>
        <w:t>магистратуры</w:t>
      </w:r>
      <w:r>
        <w:rPr>
          <w:rStyle w:val="Strong"/>
          <w:color w:val="000000"/>
          <w:sz w:val="32"/>
          <w:szCs w:val="32"/>
        </w:rPr>
        <w:t xml:space="preserve"> очной формы обучения в </w:t>
      </w:r>
      <w:r>
        <w:rPr>
          <w:rStyle w:val="Strong"/>
          <w:color w:val="000000"/>
          <w:sz w:val="32"/>
          <w:szCs w:val="32"/>
          <w:u w:val="single"/>
        </w:rPr>
        <w:t>202</w:t>
      </w:r>
      <w:r>
        <w:rPr>
          <w:rStyle w:val="Strong"/>
          <w:rFonts w:eastAsia="Times New Roman" w:cs="Times New Roman"/>
          <w:b/>
          <w:bCs/>
          <w:color w:val="000000"/>
          <w:kern w:val="0"/>
          <w:sz w:val="32"/>
          <w:szCs w:val="32"/>
          <w:u w:val="single"/>
          <w:lang w:val="ru-RU" w:eastAsia="ru-RU" w:bidi="ar-SA"/>
        </w:rPr>
        <w:t>5</w:t>
      </w:r>
      <w:r>
        <w:rPr>
          <w:rStyle w:val="Strong"/>
          <w:color w:val="000000"/>
          <w:sz w:val="32"/>
          <w:szCs w:val="32"/>
          <w:u w:val="single"/>
        </w:rPr>
        <w:t>/202</w:t>
      </w:r>
      <w:r>
        <w:rPr>
          <w:rStyle w:val="Strong"/>
          <w:rFonts w:eastAsia="Times New Roman" w:cs="Times New Roman"/>
          <w:b/>
          <w:bCs/>
          <w:color w:val="000000"/>
          <w:kern w:val="0"/>
          <w:sz w:val="32"/>
          <w:szCs w:val="32"/>
          <w:u w:val="single"/>
          <w:lang w:val="ru-RU" w:eastAsia="ru-RU" w:bidi="ar-SA"/>
        </w:rPr>
        <w:t>6</w:t>
      </w:r>
      <w:r>
        <w:rPr>
          <w:rStyle w:val="Strong"/>
          <w:color w:val="000000"/>
          <w:sz w:val="32"/>
          <w:szCs w:val="32"/>
          <w:u w:val="none"/>
        </w:rPr>
        <w:t xml:space="preserve"> у</w:t>
      </w:r>
      <w:r>
        <w:rPr>
          <w:rStyle w:val="Strong"/>
          <w:color w:val="000000"/>
          <w:sz w:val="32"/>
          <w:szCs w:val="32"/>
        </w:rPr>
        <w:t xml:space="preserve">чебном году </w:t>
      </w:r>
    </w:p>
    <w:p>
      <w:pPr>
        <w:pStyle w:val="Western"/>
        <w:spacing w:lineRule="auto" w:line="240" w:before="166" w:after="166"/>
        <w:jc w:val="both"/>
        <w:rPr>
          <w:rStyle w:val="Strong"/>
          <w:b/>
          <w:b/>
          <w:bCs/>
          <w:sz w:val="26"/>
          <w:szCs w:val="26"/>
          <w:lang w:val="ru-RU" w:eastAsia="ru-RU" w:bidi="ar-SA"/>
        </w:rPr>
      </w:pPr>
      <w:r>
        <w:rPr>
          <w:b/>
          <w:bCs/>
          <w:sz w:val="26"/>
          <w:szCs w:val="26"/>
          <w:lang w:val="ru-RU" w:eastAsia="ru-RU" w:bidi="ar-SA"/>
        </w:rPr>
      </w:r>
    </w:p>
    <w:p>
      <w:pPr>
        <w:pStyle w:val="Western"/>
        <w:spacing w:lineRule="auto" w:line="240" w:before="166" w:after="166"/>
        <w:jc w:val="both"/>
        <w:rPr/>
      </w:pPr>
      <w:r>
        <w:rPr>
          <w:rStyle w:val="Strong"/>
          <w:b/>
          <w:bCs/>
          <w:sz w:val="26"/>
          <w:szCs w:val="26"/>
          <w:lang w:val="ru-RU" w:eastAsia="ru-RU" w:bidi="ar-SA"/>
        </w:rPr>
        <w:t>Направления подготовки</w:t>
      </w:r>
      <w:r>
        <w:rPr>
          <w:rStyle w:val="Strong"/>
          <w:b w:val="false"/>
          <w:bCs w:val="false"/>
          <w:sz w:val="28"/>
          <w:szCs w:val="28"/>
          <w:lang w:val="ru-RU" w:eastAsia="ru-RU" w:bidi="ar-SA"/>
        </w:rPr>
        <w:t>:</w:t>
      </w:r>
      <w:r>
        <w:rPr>
          <w:rStyle w:val="Strong"/>
          <w:b w:val="false"/>
          <w:bCs w:val="false"/>
          <w:sz w:val="26"/>
          <w:szCs w:val="26"/>
          <w:lang w:val="ru-RU" w:eastAsia="ru-RU" w:bidi="ar-SA"/>
        </w:rPr>
        <w:t xml:space="preserve"> 38.04.01 «Экономика», 38.04.08 «Финансы и кредит»</w:t>
      </w:r>
      <w:r>
        <w:rPr>
          <w:rStyle w:val="Strong"/>
          <w:sz w:val="26"/>
          <w:szCs w:val="26"/>
          <w:lang w:val="ru-RU" w:eastAsia="ru-RU" w:bidi="ar-SA"/>
        </w:rPr>
        <w:t xml:space="preserve"> </w:t>
      </w:r>
    </w:p>
    <w:p>
      <w:pPr>
        <w:pStyle w:val="Western"/>
        <w:spacing w:lineRule="auto" w:line="276" w:before="166" w:after="166"/>
        <w:jc w:val="both"/>
        <w:rPr>
          <w:sz w:val="26"/>
          <w:szCs w:val="26"/>
        </w:rPr>
      </w:pPr>
      <w:r>
        <w:rPr>
          <w:b/>
          <w:bCs/>
          <w:sz w:val="26"/>
          <w:szCs w:val="26"/>
          <w:lang w:val="ru-RU" w:eastAsia="ru-RU" w:bidi="ar-SA"/>
        </w:rPr>
        <w:t>Направленности программ</w:t>
      </w:r>
      <w:r>
        <w:rPr>
          <w:sz w:val="26"/>
          <w:szCs w:val="26"/>
        </w:rPr>
        <w:t>: «</w:t>
      </w:r>
      <w:r>
        <w:rPr>
          <w:sz w:val="26"/>
          <w:szCs w:val="26"/>
          <w:lang w:val="ru-RU" w:eastAsia="ru-RU" w:bidi="ar-SA"/>
        </w:rPr>
        <w:t>Ценные бумаги и финансовый инжиниринг</w:t>
      </w:r>
      <w:r>
        <w:rPr>
          <w:sz w:val="26"/>
          <w:szCs w:val="26"/>
        </w:rPr>
        <w:t>», «Финансовая математика и анализ рынков»</w:t>
      </w:r>
    </w:p>
    <w:p>
      <w:pPr>
        <w:pStyle w:val="Western"/>
        <w:spacing w:lineRule="auto" w:line="240" w:before="166" w:after="166"/>
        <w:jc w:val="both"/>
        <w:rPr>
          <w:sz w:val="26"/>
          <w:szCs w:val="26"/>
        </w:rPr>
      </w:pPr>
      <w:r>
        <w:rPr>
          <w:b/>
          <w:bCs/>
          <w:sz w:val="26"/>
          <w:szCs w:val="26"/>
          <w:lang w:eastAsia="ru-RU"/>
        </w:rPr>
        <w:t>Группы</w:t>
      </w:r>
      <w:r>
        <w:rPr>
          <w:sz w:val="26"/>
          <w:szCs w:val="26"/>
          <w:lang w:eastAsia="ru-RU"/>
        </w:rPr>
        <w:t xml:space="preserve">: </w:t>
      </w:r>
      <w:r>
        <w:rPr>
          <w:sz w:val="26"/>
          <w:szCs w:val="26"/>
          <w:lang w:val="ru-RU" w:eastAsia="ru-RU" w:bidi="ar-SA"/>
        </w:rPr>
        <w:t>ЦБФИ2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5</w:t>
      </w:r>
      <w:r>
        <w:rPr>
          <w:sz w:val="26"/>
          <w:szCs w:val="26"/>
          <w:lang w:val="ru-RU" w:eastAsia="ru-RU" w:bidi="ar-SA"/>
        </w:rPr>
        <w:t>-1м, ФМАР2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5</w:t>
      </w:r>
      <w:r>
        <w:rPr>
          <w:sz w:val="26"/>
          <w:szCs w:val="26"/>
          <w:lang w:val="ru-RU" w:eastAsia="ru-RU" w:bidi="ar-SA"/>
        </w:rPr>
        <w:t>-1м</w:t>
      </w:r>
    </w:p>
    <w:p>
      <w:pPr>
        <w:pStyle w:val="Western"/>
        <w:spacing w:lineRule="auto" w:line="240" w:before="166" w:after="166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a4"/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347"/>
        <w:gridCol w:w="3145"/>
      </w:tblGrid>
      <w:tr>
        <w:trPr/>
        <w:tc>
          <w:tcPr>
            <w:tcW w:w="6347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  <w:t>Вид работы</w:t>
            </w:r>
          </w:p>
        </w:tc>
        <w:tc>
          <w:tcPr>
            <w:tcW w:w="3145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b/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  <w:t>Сроки выполнения</w:t>
            </w:r>
          </w:p>
        </w:tc>
      </w:tr>
      <w:tr>
        <w:trPr/>
        <w:tc>
          <w:tcPr>
            <w:tcW w:w="9492" w:type="dxa"/>
            <w:gridSpan w:val="2"/>
            <w:tcBorders>
              <w:top w:val="nil"/>
            </w:tcBorders>
            <w:shd w:fill="EEEEEE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  <w:t>Подготовка ВКР</w:t>
            </w:r>
          </w:p>
        </w:tc>
      </w:tr>
      <w:tr>
        <w:trPr/>
        <w:tc>
          <w:tcPr>
            <w:tcW w:w="6347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Выбор темы ВКР</w:t>
            </w:r>
          </w:p>
        </w:tc>
        <w:tc>
          <w:tcPr>
            <w:tcW w:w="3145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до 15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ноября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5</w:t>
            </w:r>
          </w:p>
        </w:tc>
      </w:tr>
      <w:tr>
        <w:trPr/>
        <w:tc>
          <w:tcPr>
            <w:tcW w:w="6347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Составление, утверждение руководителем и размещение студентом плана-задания ВКР на ИОП</w:t>
            </w:r>
          </w:p>
        </w:tc>
        <w:tc>
          <w:tcPr>
            <w:tcW w:w="3145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до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декабря 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5</w:t>
            </w:r>
          </w:p>
        </w:tc>
      </w:tr>
      <w:tr>
        <w:trPr/>
        <w:tc>
          <w:tcPr>
            <w:tcW w:w="6347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Предоставление первой главы ВКР руководителю</w:t>
              <w:br/>
              <w:t>Предоставление второй главы ВКР руководителю</w:t>
              <w:br/>
              <w:t>Предоставление третьей главы ВКР руководителю</w:t>
              <w:br/>
              <w:t>Предоставление ВКР в полном объеме руководителю</w:t>
            </w:r>
          </w:p>
        </w:tc>
        <w:tc>
          <w:tcPr>
            <w:tcW w:w="3145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до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01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октября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6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br/>
              <w:t xml:space="preserve">до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15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января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7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br/>
              <w:t xml:space="preserve">до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15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марта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7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br/>
              <w:t xml:space="preserve">до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15 апреля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7</w:t>
            </w:r>
          </w:p>
        </w:tc>
      </w:tr>
      <w:tr>
        <w:trPr/>
        <w:tc>
          <w:tcPr>
            <w:tcW w:w="6347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Проведение предварительной защиты ВКР</w:t>
            </w:r>
          </w:p>
        </w:tc>
        <w:tc>
          <w:tcPr>
            <w:tcW w:w="3145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2A6099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2A6099"/>
                <w:kern w:val="0"/>
                <w:sz w:val="26"/>
                <w:szCs w:val="26"/>
                <w:lang w:val="ru-RU" w:bidi="ar-SA"/>
              </w:rPr>
              <w:t>уточняется</w:t>
            </w:r>
          </w:p>
        </w:tc>
      </w:tr>
      <w:tr>
        <w:trPr>
          <w:trHeight w:val="640" w:hRule="atLeast"/>
        </w:trPr>
        <w:tc>
          <w:tcPr>
            <w:tcW w:w="6347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Размещение итоговой, согласованной с научным руководителем ЭВКР на ИОП*</w:t>
            </w:r>
          </w:p>
        </w:tc>
        <w:tc>
          <w:tcPr>
            <w:tcW w:w="3145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2A6099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2A6099"/>
                <w:kern w:val="0"/>
                <w:sz w:val="26"/>
                <w:szCs w:val="26"/>
                <w:lang w:val="ru-RU" w:bidi="ar-SA"/>
              </w:rPr>
              <w:t>уточняется</w:t>
            </w:r>
          </w:p>
        </w:tc>
      </w:tr>
      <w:tr>
        <w:trPr/>
        <w:tc>
          <w:tcPr>
            <w:tcW w:w="6347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Autospacing="0" w:before="0" w:afterAutospacing="0" w:after="16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Размещение отзыва руководителя о ВКР студента на ИОП</w:t>
            </w:r>
          </w:p>
        </w:tc>
        <w:tc>
          <w:tcPr>
            <w:tcW w:w="3145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за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5 дней до защиты ВКР</w:t>
            </w:r>
          </w:p>
        </w:tc>
      </w:tr>
      <w:tr>
        <w:trPr/>
        <w:tc>
          <w:tcPr>
            <w:tcW w:w="6347" w:type="dxa"/>
            <w:tcBorders>
              <w:top w:val="nil"/>
            </w:tcBorders>
          </w:tcPr>
          <w:p>
            <w:pPr>
              <w:pStyle w:val="Style19"/>
              <w:widowControl w:val="false"/>
              <w:suppressAutoHyphens w:val="true"/>
              <w:spacing w:lineRule="auto" w:line="240" w:beforeAutospacing="0" w:before="0" w:afterAutospacing="0" w:after="16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Размещение рецензии на ИОП и установление руководителем ВКР статуса «Допущен (-а) к защите»</w:t>
            </w:r>
          </w:p>
        </w:tc>
        <w:tc>
          <w:tcPr>
            <w:tcW w:w="3145" w:type="dxa"/>
            <w:tcBorders>
              <w:top w:val="nil"/>
            </w:tcBorders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за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5 дней до защиты ВКР</w:t>
            </w:r>
          </w:p>
        </w:tc>
      </w:tr>
      <w:tr>
        <w:trPr/>
        <w:tc>
          <w:tcPr>
            <w:tcW w:w="6347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Государственная итоговая аттестация**</w:t>
            </w:r>
          </w:p>
        </w:tc>
        <w:tc>
          <w:tcPr>
            <w:tcW w:w="3145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/>
        <w:tc>
          <w:tcPr>
            <w:tcW w:w="9492" w:type="dxa"/>
            <w:gridSpan w:val="2"/>
            <w:tcBorders>
              <w:top w:val="nil"/>
            </w:tcBorders>
            <w:shd w:fill="EEEEEE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  <w:t>Практика</w:t>
            </w:r>
          </w:p>
        </w:tc>
      </w:tr>
      <w:tr>
        <w:trPr/>
        <w:tc>
          <w:tcPr>
            <w:tcW w:w="6347" w:type="dxa"/>
            <w:tcBorders>
              <w:top w:val="nil"/>
            </w:tcBorders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Учебная практика: ознакомительная практика</w:t>
            </w:r>
          </w:p>
        </w:tc>
        <w:tc>
          <w:tcPr>
            <w:tcW w:w="3145" w:type="dxa"/>
            <w:tcBorders>
              <w:top w:val="nil"/>
            </w:tcBorders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2A6099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2A6099"/>
                <w:kern w:val="0"/>
                <w:sz w:val="26"/>
                <w:szCs w:val="26"/>
                <w:lang w:val="ru-RU" w:bidi="ar-SA"/>
              </w:rPr>
              <w:t>уточняется</w:t>
            </w:r>
          </w:p>
        </w:tc>
      </w:tr>
      <w:tr>
        <w:trPr/>
        <w:tc>
          <w:tcPr>
            <w:tcW w:w="6347" w:type="dxa"/>
            <w:tcBorders>
              <w:top w:val="nil"/>
            </w:tcBorders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Производственная практика: практика по профилю профессиональной деятельности; </w:t>
            </w:r>
            <w:r>
              <w:rPr>
                <w:rFonts w:cs="Times New Roman"/>
                <w:color w:val="000000"/>
                <w:kern w:val="0"/>
                <w:sz w:val="26"/>
                <w:szCs w:val="26"/>
                <w:shd w:fill="auto" w:val="clear"/>
                <w:lang w:val="ru-RU" w:bidi="ar-SA"/>
              </w:rPr>
              <w:t>преддипломная практика</w:t>
            </w:r>
          </w:p>
        </w:tc>
        <w:tc>
          <w:tcPr>
            <w:tcW w:w="3145" w:type="dxa"/>
            <w:tcBorders>
              <w:top w:val="nil"/>
            </w:tcBorders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2A6099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2A6099"/>
                <w:kern w:val="0"/>
                <w:sz w:val="26"/>
                <w:szCs w:val="26"/>
                <w:lang w:val="ru-RU" w:bidi="ar-SA"/>
              </w:rPr>
              <w:t>уточняется</w:t>
            </w:r>
          </w:p>
        </w:tc>
      </w:tr>
      <w:tr>
        <w:trPr/>
        <w:tc>
          <w:tcPr>
            <w:tcW w:w="6347" w:type="dxa"/>
            <w:tcBorders>
              <w:top w:val="nil"/>
            </w:tcBorders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Защита отчетов по практике</w:t>
            </w:r>
          </w:p>
        </w:tc>
        <w:tc>
          <w:tcPr>
            <w:tcW w:w="3145" w:type="dxa"/>
            <w:tcBorders>
              <w:top w:val="nil"/>
            </w:tcBorders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2A6099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2A6099"/>
                <w:kern w:val="0"/>
                <w:sz w:val="26"/>
                <w:szCs w:val="26"/>
                <w:lang w:val="ru-RU" w:bidi="ar-SA"/>
              </w:rPr>
              <w:t>уточняется</w:t>
            </w:r>
          </w:p>
        </w:tc>
      </w:tr>
    </w:tbl>
    <w:p>
      <w:pPr>
        <w:pStyle w:val="Normal"/>
        <w:spacing w:beforeAutospacing="0" w:before="0" w:afterAutospacing="0" w:after="15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pacing w:beforeAutospacing="0" w:before="0" w:afterAutospacing="0" w:after="15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* Студенты, не разместившие ЭВКР на платформе org.fa.ru до </w:t>
      </w:r>
      <w:r>
        <w:rPr>
          <w:rFonts w:eastAsia="Times New Roman" w:cs="Times New Roman" w:ascii="Times New Roman" w:hAnsi="Times New Roman"/>
          <w:color w:val="2A6099"/>
          <w:sz w:val="24"/>
          <w:szCs w:val="24"/>
          <w:shd w:fill="auto" w:val="clear"/>
          <w:lang w:eastAsia="ru-RU"/>
        </w:rPr>
        <w:t>______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не будут включены в приказ о допуске к государственной итоговой аттестации (ГИА), что повлечет за собой отчисление из университета</w:t>
      </w:r>
    </w:p>
    <w:p>
      <w:pPr>
        <w:pStyle w:val="Normal"/>
        <w:shd w:val="clear" w:color="auto" w:fill="FFFFFF"/>
        <w:spacing w:lineRule="auto" w:line="240" w:before="0" w:after="0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** Дата проведения защиты ВКР определяется расписанием ГИА</w:t>
      </w:r>
    </w:p>
    <w:p>
      <w:pPr>
        <w:pStyle w:val="Normal"/>
        <w:shd w:val="clear" w:color="auto" w:fill="FFFFFF"/>
        <w:spacing w:lineRule="auto" w:line="240" w:before="0" w:after="0"/>
        <w:rPr>
          <w:color w:val="000000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26b12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Western" w:customStyle="1">
    <w:name w:val="western"/>
    <w:basedOn w:val="Normal"/>
    <w:qFormat/>
    <w:rsid w:val="00726b1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26b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LibreOffice/7.0.6.2$Linux_X86_64 LibreOffice_project/00$Build-2</Application>
  <AppVersion>15.0000</AppVersion>
  <Pages>1</Pages>
  <Words>209</Words>
  <Characters>1366</Characters>
  <CharactersWithSpaces>1546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2022-12-04T17:37:00Z</dcterms:created>
  <dc:creator>Абалакина Татьяна Владимировна</dc:creator>
  <dc:description/>
  <dc:language>ru-RU</dc:language>
  <cp:lastModifiedBy/>
  <cp:lastPrinted>2023-08-29T14:33:04Z</cp:lastPrinted>
  <dcterms:modified xsi:type="dcterms:W3CDTF">2025-08-27T11:10:23Z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