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Образец</w:t>
      </w:r>
      <w:r>
        <w:rPr>
          <w:spacing w:val="-9"/>
        </w:rPr>
        <w:t> </w:t>
      </w:r>
      <w:r>
        <w:rPr/>
        <w:t>справки</w:t>
      </w:r>
      <w:r>
        <w:rPr>
          <w:spacing w:val="-7"/>
        </w:rPr>
        <w:t> </w:t>
      </w:r>
      <w:r>
        <w:rPr/>
        <w:t>об</w:t>
      </w:r>
      <w:r>
        <w:rPr>
          <w:spacing w:val="-5"/>
        </w:rPr>
        <w:t> </w:t>
      </w:r>
      <w:r>
        <w:rPr/>
        <w:t>апробации</w:t>
      </w:r>
      <w:r>
        <w:rPr>
          <w:spacing w:val="-6"/>
        </w:rPr>
        <w:t> </w:t>
      </w:r>
      <w:r>
        <w:rPr/>
        <w:t>научных</w:t>
      </w:r>
      <w:r>
        <w:rPr>
          <w:spacing w:val="-4"/>
        </w:rPr>
        <w:t> </w:t>
      </w:r>
      <w:r>
        <w:rPr>
          <w:spacing w:val="-2"/>
        </w:rPr>
        <w:t>результатов</w:t>
      </w:r>
    </w:p>
    <w:p>
      <w:pPr>
        <w:pStyle w:val="BodyText"/>
        <w:spacing w:before="320"/>
        <w:rPr>
          <w:b/>
          <w:sz w:val="28"/>
        </w:rPr>
      </w:pPr>
    </w:p>
    <w:p>
      <w:pPr>
        <w:spacing w:before="0"/>
        <w:ind w:left="424" w:right="5" w:firstLine="0"/>
        <w:jc w:val="center"/>
        <w:rPr>
          <w:b/>
          <w:sz w:val="24"/>
        </w:rPr>
      </w:pPr>
      <w:r>
        <w:rPr>
          <w:b/>
          <w:spacing w:val="-2"/>
          <w:sz w:val="24"/>
        </w:rPr>
        <w:t>СПРАВКА</w:t>
      </w:r>
    </w:p>
    <w:p>
      <w:pPr>
        <w:spacing w:line="274" w:lineRule="exact" w:before="0"/>
        <w:ind w:left="424" w:right="5" w:firstLine="0"/>
        <w:jc w:val="center"/>
        <w:rPr>
          <w:b/>
          <w:sz w:val="24"/>
        </w:rPr>
      </w:pPr>
      <w:r>
        <w:rPr>
          <w:b/>
          <w:sz w:val="24"/>
        </w:rPr>
        <w:t>об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апробации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научных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результатов</w:t>
      </w:r>
    </w:p>
    <w:p>
      <w:pPr>
        <w:spacing w:line="274" w:lineRule="exact" w:before="0"/>
        <w:ind w:left="424" w:right="3" w:firstLine="0"/>
        <w:jc w:val="center"/>
        <w:rPr>
          <w:b/>
          <w:i/>
          <w:sz w:val="24"/>
        </w:rPr>
      </w:pPr>
      <w:r>
        <w:rPr>
          <w:sz w:val="24"/>
        </w:rPr>
        <w:t>по</w:t>
      </w:r>
      <w:r>
        <w:rPr>
          <w:spacing w:val="-6"/>
          <w:sz w:val="24"/>
        </w:rPr>
        <w:t> </w:t>
      </w:r>
      <w:r>
        <w:rPr>
          <w:sz w:val="24"/>
        </w:rPr>
        <w:t>кандидатской</w:t>
      </w:r>
      <w:r>
        <w:rPr>
          <w:spacing w:val="52"/>
          <w:sz w:val="24"/>
        </w:rPr>
        <w:t> </w:t>
      </w:r>
      <w:r>
        <w:rPr>
          <w:sz w:val="24"/>
        </w:rPr>
        <w:t>диссертации</w:t>
      </w:r>
      <w:r>
        <w:rPr>
          <w:spacing w:val="-3"/>
          <w:sz w:val="24"/>
        </w:rPr>
        <w:t> </w:t>
      </w:r>
      <w:r>
        <w:rPr>
          <w:b/>
          <w:i/>
          <w:sz w:val="24"/>
        </w:rPr>
        <w:t>Смирнова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Федора</w:t>
      </w:r>
      <w:r>
        <w:rPr>
          <w:b/>
          <w:i/>
          <w:spacing w:val="-3"/>
          <w:sz w:val="24"/>
        </w:rPr>
        <w:t> </w:t>
      </w:r>
      <w:r>
        <w:rPr>
          <w:b/>
          <w:i/>
          <w:spacing w:val="-2"/>
          <w:sz w:val="24"/>
        </w:rPr>
        <w:t>Александровича</w:t>
      </w:r>
    </w:p>
    <w:p>
      <w:pPr>
        <w:spacing w:before="0"/>
        <w:ind w:left="424" w:right="4" w:firstLine="0"/>
        <w:jc w:val="center"/>
        <w:rPr>
          <w:b/>
          <w:i/>
          <w:sz w:val="24"/>
        </w:rPr>
      </w:pPr>
      <w:r>
        <w:rPr>
          <w:sz w:val="24"/>
        </w:rPr>
        <w:t>на</w:t>
      </w:r>
      <w:r>
        <w:rPr>
          <w:spacing w:val="-5"/>
          <w:sz w:val="24"/>
        </w:rPr>
        <w:t> </w:t>
      </w:r>
      <w:r>
        <w:rPr>
          <w:sz w:val="24"/>
        </w:rPr>
        <w:t>тему</w:t>
      </w:r>
      <w:r>
        <w:rPr>
          <w:spacing w:val="-8"/>
          <w:sz w:val="24"/>
        </w:rPr>
        <w:t> </w:t>
      </w:r>
      <w:r>
        <w:rPr>
          <w:b/>
          <w:i/>
          <w:sz w:val="24"/>
        </w:rPr>
        <w:t>«Влияние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хедж-фондов</w:t>
      </w:r>
      <w:r>
        <w:rPr>
          <w:b/>
          <w:i/>
          <w:spacing w:val="-6"/>
          <w:sz w:val="24"/>
        </w:rPr>
        <w:t> </w:t>
      </w:r>
      <w:r>
        <w:rPr>
          <w:b/>
          <w:i/>
          <w:sz w:val="24"/>
        </w:rPr>
        <w:t>на</w:t>
      </w:r>
      <w:r>
        <w:rPr>
          <w:b/>
          <w:i/>
          <w:spacing w:val="-6"/>
          <w:sz w:val="24"/>
        </w:rPr>
        <w:t> </w:t>
      </w:r>
      <w:r>
        <w:rPr>
          <w:b/>
          <w:i/>
          <w:sz w:val="24"/>
        </w:rPr>
        <w:t>трансформацию</w:t>
      </w:r>
      <w:r>
        <w:rPr>
          <w:b/>
          <w:i/>
          <w:spacing w:val="-6"/>
          <w:sz w:val="24"/>
        </w:rPr>
        <w:t> </w:t>
      </w:r>
      <w:r>
        <w:rPr>
          <w:b/>
          <w:i/>
          <w:sz w:val="24"/>
        </w:rPr>
        <w:t>мирохозяйственных</w:t>
      </w:r>
      <w:r>
        <w:rPr>
          <w:b/>
          <w:i/>
          <w:spacing w:val="-3"/>
          <w:sz w:val="24"/>
        </w:rPr>
        <w:t> </w:t>
      </w:r>
      <w:r>
        <w:rPr>
          <w:b/>
          <w:i/>
          <w:spacing w:val="-2"/>
          <w:sz w:val="24"/>
        </w:rPr>
        <w:t>связей»</w:t>
      </w:r>
    </w:p>
    <w:p>
      <w:pPr>
        <w:pStyle w:val="BodyText"/>
        <w:ind w:left="424" w:right="3"/>
        <w:jc w:val="center"/>
      </w:pPr>
      <w:r>
        <w:rPr/>
        <w:t>Участие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научных</w:t>
      </w:r>
      <w:r>
        <w:rPr>
          <w:spacing w:val="-1"/>
        </w:rPr>
        <w:t> </w:t>
      </w:r>
      <w:r>
        <w:rPr>
          <w:spacing w:val="-2"/>
        </w:rPr>
        <w:t>мероприятиях</w:t>
      </w:r>
    </w:p>
    <w:p>
      <w:pPr>
        <w:pStyle w:val="BodyText"/>
        <w:spacing w:before="54"/>
        <w:rPr>
          <w:sz w:val="20"/>
        </w:rPr>
      </w:pPr>
    </w:p>
    <w:tbl>
      <w:tblPr>
        <w:tblW w:w="0" w:type="auto"/>
        <w:jc w:val="left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8"/>
        <w:gridCol w:w="3336"/>
        <w:gridCol w:w="5964"/>
      </w:tblGrid>
      <w:tr>
        <w:trPr>
          <w:trHeight w:val="551" w:hRule="atLeast"/>
        </w:trPr>
        <w:tc>
          <w:tcPr>
            <w:tcW w:w="588" w:type="dxa"/>
          </w:tcPr>
          <w:p>
            <w:pPr>
              <w:pStyle w:val="TableParagraph"/>
              <w:spacing w:line="276" w:lineRule="exact"/>
              <w:ind w:left="122" w:right="104" w:firstLine="50"/>
              <w:jc w:val="lef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 </w:t>
            </w:r>
            <w:r>
              <w:rPr>
                <w:b/>
                <w:spacing w:val="-4"/>
                <w:sz w:val="24"/>
              </w:rPr>
              <w:t>п\п</w:t>
            </w:r>
          </w:p>
        </w:tc>
        <w:tc>
          <w:tcPr>
            <w:tcW w:w="3336" w:type="dxa"/>
          </w:tcPr>
          <w:p>
            <w:pPr>
              <w:pStyle w:val="TableParagraph"/>
              <w:spacing w:line="276" w:lineRule="exact"/>
              <w:ind w:left="1360" w:right="299" w:hanging="49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 работ</w:t>
            </w:r>
          </w:p>
        </w:tc>
        <w:tc>
          <w:tcPr>
            <w:tcW w:w="5964" w:type="dxa"/>
          </w:tcPr>
          <w:p>
            <w:pPr>
              <w:pStyle w:val="TableParagraph"/>
              <w:spacing w:line="273" w:lineRule="exact"/>
              <w:ind w:left="197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Выходные</w:t>
            </w:r>
            <w:r>
              <w:rPr>
                <w:b/>
                <w:spacing w:val="-2"/>
                <w:sz w:val="24"/>
              </w:rPr>
              <w:t> данные</w:t>
            </w:r>
          </w:p>
        </w:tc>
      </w:tr>
      <w:tr>
        <w:trPr>
          <w:trHeight w:val="3312" w:hRule="atLeast"/>
        </w:trPr>
        <w:tc>
          <w:tcPr>
            <w:tcW w:w="588" w:type="dxa"/>
          </w:tcPr>
          <w:p>
            <w:pPr>
              <w:pStyle w:val="TableParagraph"/>
              <w:spacing w:line="267" w:lineRule="exact"/>
              <w:ind w:left="107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336" w:type="dxa"/>
          </w:tcPr>
          <w:p>
            <w:pPr>
              <w:pStyle w:val="TableParagraph"/>
              <w:tabs>
                <w:tab w:pos="2540" w:val="left" w:leader="none"/>
              </w:tabs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Геофинансовый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анализ </w:t>
            </w:r>
            <w:r>
              <w:rPr>
                <w:sz w:val="24"/>
              </w:rPr>
              <w:t>развития индустрии хедж- фондов (статья)</w:t>
            </w:r>
          </w:p>
        </w:tc>
        <w:tc>
          <w:tcPr>
            <w:tcW w:w="5964" w:type="dxa"/>
          </w:tcPr>
          <w:p>
            <w:pPr>
              <w:pStyle w:val="TableParagraph"/>
              <w:ind w:right="91"/>
              <w:rPr>
                <w:sz w:val="24"/>
              </w:rPr>
            </w:pPr>
            <w:r>
              <w:rPr>
                <w:sz w:val="24"/>
              </w:rPr>
              <w:t>Высокие технологии, образование, промышленность.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Т. 4: сборник статей одиннадцатой международной научно-практической конференции «Фундаментальные и прикладные исследования, разработка и применение высоких технологий в промышленности». 27-29 апреля 2011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года,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Санкт-Петербург,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Россия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/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под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ред.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А.П. Кудинова. – СПб. : Изд-во Политехн. ун-та, 2011.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– С. 73 – 77.</w:t>
            </w:r>
          </w:p>
          <w:p>
            <w:pPr>
              <w:pStyle w:val="TableParagraph"/>
              <w:ind w:right="94"/>
              <w:rPr>
                <w:sz w:val="24"/>
              </w:rPr>
            </w:pPr>
            <w:r>
              <w:rPr>
                <w:sz w:val="24"/>
              </w:rPr>
              <w:t>(Санкт-Петербург, ФГБУН Институт оптики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атмосферы им. В.Е. Зуева Сибирского отделения Российской академии наук, 27-29 апреля 2011 г.)</w:t>
            </w:r>
          </w:p>
        </w:tc>
      </w:tr>
      <w:tr>
        <w:trPr>
          <w:trHeight w:val="1932" w:hRule="atLeast"/>
        </w:trPr>
        <w:tc>
          <w:tcPr>
            <w:tcW w:w="588" w:type="dxa"/>
          </w:tcPr>
          <w:p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336" w:type="dxa"/>
          </w:tcPr>
          <w:p>
            <w:pPr>
              <w:pStyle w:val="TableParagraph"/>
              <w:tabs>
                <w:tab w:pos="2041" w:val="left" w:leader="none"/>
              </w:tabs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Глобальный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финансово- </w:t>
            </w:r>
            <w:r>
              <w:rPr>
                <w:sz w:val="24"/>
              </w:rPr>
              <w:t>экономический кризис как новый рубеж геофинансовой </w:t>
            </w:r>
            <w:r>
              <w:rPr>
                <w:spacing w:val="-2"/>
                <w:sz w:val="24"/>
              </w:rPr>
              <w:t>регионализации.</w:t>
            </w:r>
          </w:p>
          <w:p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Деятельность хедж-фондов </w:t>
            </w:r>
            <w:r>
              <w:rPr>
                <w:spacing w:val="-2"/>
                <w:sz w:val="24"/>
              </w:rPr>
              <w:t>(статья)</w:t>
            </w:r>
          </w:p>
        </w:tc>
        <w:tc>
          <w:tcPr>
            <w:tcW w:w="5964" w:type="dxa"/>
          </w:tcPr>
          <w:p>
            <w:pPr>
              <w:pStyle w:val="TableParagraph"/>
              <w:ind w:right="91"/>
              <w:rPr>
                <w:sz w:val="24"/>
              </w:rPr>
            </w:pPr>
            <w:r>
              <w:rPr>
                <w:sz w:val="24"/>
              </w:rPr>
              <w:t>Левиафан : Материалы международной конференции по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вопросам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многополярности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(вып.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3)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/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Под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ред. А. Г. Дугина; ред. Сост. Л. В. Савин. – М.: Евразийское Движение, 2012. – С. 183 – 189.</w:t>
            </w:r>
          </w:p>
          <w:p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(Москва, ФГБОУВО МГУ им. М.В.Ломоносова, Социологический факультет, 4 октября 2011 г.)</w:t>
            </w:r>
          </w:p>
        </w:tc>
      </w:tr>
      <w:tr>
        <w:trPr>
          <w:trHeight w:val="2761" w:hRule="atLeast"/>
        </w:trPr>
        <w:tc>
          <w:tcPr>
            <w:tcW w:w="588" w:type="dxa"/>
          </w:tcPr>
          <w:p>
            <w:pPr>
              <w:pStyle w:val="TableParagraph"/>
              <w:spacing w:line="270" w:lineRule="exact"/>
              <w:ind w:left="107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336" w:type="dxa"/>
          </w:tcPr>
          <w:p>
            <w:pPr>
              <w:pStyle w:val="TableParagraph"/>
              <w:tabs>
                <w:tab w:pos="1535" w:val="left" w:leader="none"/>
                <w:tab w:pos="2065" w:val="left" w:leader="none"/>
                <w:tab w:pos="2346" w:val="left" w:leader="none"/>
                <w:tab w:pos="3111" w:val="left" w:leader="none"/>
              </w:tabs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Новые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явления</w:t>
            </w:r>
            <w:r>
              <w:rPr>
                <w:sz w:val="24"/>
              </w:rPr>
              <w:tab/>
              <w:tab/>
            </w:r>
            <w:r>
              <w:rPr>
                <w:spacing w:val="-10"/>
                <w:sz w:val="24"/>
              </w:rPr>
              <w:t>в </w:t>
            </w:r>
            <w:r>
              <w:rPr>
                <w:sz w:val="24"/>
              </w:rPr>
              <w:t>деятельности хедж-фондов в </w:t>
            </w:r>
            <w:r>
              <w:rPr>
                <w:spacing w:val="-2"/>
                <w:sz w:val="24"/>
              </w:rPr>
              <w:t>современной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2"/>
                <w:sz w:val="24"/>
              </w:rPr>
              <w:t>мировой экономике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>кризисного </w:t>
            </w:r>
            <w:r>
              <w:rPr>
                <w:sz w:val="24"/>
              </w:rPr>
              <w:t>периода (статья)</w:t>
            </w:r>
          </w:p>
        </w:tc>
        <w:tc>
          <w:tcPr>
            <w:tcW w:w="5964" w:type="dxa"/>
          </w:tcPr>
          <w:p>
            <w:pPr>
              <w:pStyle w:val="TableParagraph"/>
              <w:ind w:right="91"/>
              <w:rPr>
                <w:sz w:val="24"/>
              </w:rPr>
            </w:pPr>
            <w:r>
              <w:rPr>
                <w:sz w:val="24"/>
              </w:rPr>
              <w:t>Актуальные вопросы экономических наук: сборник материалов XXIV Международной научно- практической конференции: в 2-х частях. Часть 1 / Под общ.</w:t>
            </w:r>
            <w:r>
              <w:rPr>
                <w:spacing w:val="57"/>
                <w:sz w:val="24"/>
              </w:rPr>
              <w:t>  </w:t>
            </w:r>
            <w:r>
              <w:rPr>
                <w:sz w:val="24"/>
              </w:rPr>
              <w:t>ред.</w:t>
            </w:r>
            <w:r>
              <w:rPr>
                <w:spacing w:val="57"/>
                <w:sz w:val="24"/>
              </w:rPr>
              <w:t>  </w:t>
            </w:r>
            <w:r>
              <w:rPr>
                <w:sz w:val="24"/>
              </w:rPr>
              <w:t>Ж.</w:t>
            </w:r>
            <w:r>
              <w:rPr>
                <w:spacing w:val="56"/>
                <w:sz w:val="24"/>
              </w:rPr>
              <w:t>  </w:t>
            </w:r>
            <w:r>
              <w:rPr>
                <w:sz w:val="24"/>
              </w:rPr>
              <w:t>А.</w:t>
            </w:r>
            <w:r>
              <w:rPr>
                <w:spacing w:val="55"/>
                <w:sz w:val="24"/>
              </w:rPr>
              <w:t>  </w:t>
            </w:r>
            <w:r>
              <w:rPr>
                <w:sz w:val="24"/>
              </w:rPr>
              <w:t>Мингалевой,</w:t>
            </w:r>
            <w:r>
              <w:rPr>
                <w:spacing w:val="57"/>
                <w:sz w:val="24"/>
              </w:rPr>
              <w:t>  </w:t>
            </w:r>
            <w:r>
              <w:rPr>
                <w:sz w:val="24"/>
              </w:rPr>
              <w:t>С.</w:t>
            </w:r>
            <w:r>
              <w:rPr>
                <w:spacing w:val="56"/>
                <w:sz w:val="24"/>
              </w:rPr>
              <w:t>  </w:t>
            </w:r>
            <w:r>
              <w:rPr>
                <w:sz w:val="24"/>
              </w:rPr>
              <w:t>С.</w:t>
            </w:r>
            <w:r>
              <w:rPr>
                <w:spacing w:val="56"/>
                <w:sz w:val="24"/>
              </w:rPr>
              <w:t>  </w:t>
            </w:r>
            <w:r>
              <w:rPr>
                <w:sz w:val="24"/>
              </w:rPr>
              <w:t>Чернова. – Новосибирск: Издательство НГТУ, 2012. – С. 57 – 66.</w:t>
            </w:r>
          </w:p>
          <w:p>
            <w:pPr>
              <w:pStyle w:val="TableParagraph"/>
              <w:spacing w:before="268"/>
              <w:ind w:right="93"/>
              <w:rPr>
                <w:sz w:val="24"/>
              </w:rPr>
            </w:pPr>
            <w:r>
              <w:rPr>
                <w:sz w:val="24"/>
              </w:rPr>
              <w:t>(г. Новосибирск, ФГБОУВО Новосибирский государственный технический университет, 14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марта 2012 г.)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1910" w:h="16840"/>
          <w:pgMar w:top="1360" w:bottom="280" w:left="992" w:right="850"/>
        </w:sectPr>
      </w:pPr>
    </w:p>
    <w:tbl>
      <w:tblPr>
        <w:tblW w:w="0" w:type="auto"/>
        <w:jc w:val="left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8"/>
        <w:gridCol w:w="3336"/>
        <w:gridCol w:w="5964"/>
      </w:tblGrid>
      <w:tr>
        <w:trPr>
          <w:trHeight w:val="553" w:hRule="atLeast"/>
        </w:trPr>
        <w:tc>
          <w:tcPr>
            <w:tcW w:w="588" w:type="dxa"/>
          </w:tcPr>
          <w:p>
            <w:pPr>
              <w:pStyle w:val="TableParagraph"/>
              <w:spacing w:line="276" w:lineRule="exact"/>
              <w:ind w:left="122" w:right="104" w:firstLine="50"/>
              <w:jc w:val="lef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 </w:t>
            </w:r>
            <w:r>
              <w:rPr>
                <w:b/>
                <w:spacing w:val="-4"/>
                <w:sz w:val="24"/>
              </w:rPr>
              <w:t>п\п</w:t>
            </w:r>
          </w:p>
        </w:tc>
        <w:tc>
          <w:tcPr>
            <w:tcW w:w="3336" w:type="dxa"/>
          </w:tcPr>
          <w:p>
            <w:pPr>
              <w:pStyle w:val="TableParagraph"/>
              <w:spacing w:line="276" w:lineRule="exact"/>
              <w:ind w:left="1360" w:right="299" w:hanging="49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 работ</w:t>
            </w:r>
          </w:p>
        </w:tc>
        <w:tc>
          <w:tcPr>
            <w:tcW w:w="5964" w:type="dxa"/>
          </w:tcPr>
          <w:p>
            <w:pPr>
              <w:pStyle w:val="TableParagraph"/>
              <w:spacing w:line="275" w:lineRule="exact"/>
              <w:ind w:left="197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Выходные</w:t>
            </w:r>
            <w:r>
              <w:rPr>
                <w:b/>
                <w:spacing w:val="-2"/>
                <w:sz w:val="24"/>
              </w:rPr>
              <w:t> данные</w:t>
            </w:r>
          </w:p>
        </w:tc>
      </w:tr>
      <w:tr>
        <w:trPr>
          <w:trHeight w:val="3312" w:hRule="atLeast"/>
        </w:trPr>
        <w:tc>
          <w:tcPr>
            <w:tcW w:w="588" w:type="dxa"/>
          </w:tcPr>
          <w:p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336" w:type="dxa"/>
          </w:tcPr>
          <w:p>
            <w:pPr>
              <w:pStyle w:val="TableParagraph"/>
              <w:tabs>
                <w:tab w:pos="1872" w:val="left" w:leader="none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Становление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международного финансового центра России в системе эволюции мировой финансовой архитектуры и регионального расширения </w:t>
            </w:r>
            <w:r>
              <w:rPr>
                <w:spacing w:val="-2"/>
                <w:sz w:val="24"/>
              </w:rPr>
              <w:t>индустрии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хедж-фондов (статья)</w:t>
            </w:r>
          </w:p>
        </w:tc>
        <w:tc>
          <w:tcPr>
            <w:tcW w:w="5964" w:type="dxa"/>
          </w:tcPr>
          <w:p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«Актуальные проблемы современной науки: свежий взгляд и новые подходы», 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Международная науч.- практ. конф. (2012; Йошкар-Ола). I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Международная научно-практическая конференция «Актуальные проблемы современной науки: свежий взгляд и новые подходы», 25 мая 2012 г. [Текст]: [материалы]: в 2 ч. / Приволжский</w:t>
            </w:r>
            <w:r>
              <w:rPr>
                <w:spacing w:val="80"/>
                <w:sz w:val="24"/>
              </w:rPr>
              <w:t>   </w:t>
            </w:r>
            <w:r>
              <w:rPr>
                <w:sz w:val="24"/>
              </w:rPr>
              <w:t>научно-исследовательский</w:t>
            </w:r>
            <w:r>
              <w:rPr>
                <w:spacing w:val="80"/>
                <w:sz w:val="24"/>
              </w:rPr>
              <w:t>   </w:t>
            </w:r>
            <w:r>
              <w:rPr>
                <w:sz w:val="24"/>
              </w:rPr>
              <w:t>центр. – Йошкар-Ола: Коллоквиум, 2012. – С. 75 - 78</w:t>
            </w:r>
          </w:p>
          <w:p>
            <w:pPr>
              <w:pStyle w:val="TableParagraph"/>
              <w:spacing w:before="268"/>
              <w:ind w:right="93"/>
              <w:rPr>
                <w:sz w:val="24"/>
              </w:rPr>
            </w:pPr>
            <w:r>
              <w:rPr>
                <w:sz w:val="24"/>
              </w:rPr>
              <w:t>(г. Йошкар-Ола, АНО Приволжский научно- исследовательский центр, 25 мая 2012 г.)</w:t>
            </w:r>
          </w:p>
        </w:tc>
      </w:tr>
      <w:tr>
        <w:trPr>
          <w:trHeight w:val="1380" w:hRule="atLeast"/>
        </w:trPr>
        <w:tc>
          <w:tcPr>
            <w:tcW w:w="588" w:type="dxa"/>
          </w:tcPr>
          <w:p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336" w:type="dxa"/>
          </w:tcPr>
          <w:p>
            <w:pPr>
              <w:pStyle w:val="TableParagraph"/>
              <w:ind w:right="94"/>
              <w:rPr>
                <w:sz w:val="24"/>
              </w:rPr>
            </w:pPr>
            <w:r>
              <w:rPr>
                <w:sz w:val="24"/>
              </w:rPr>
              <w:t>Рост рисков для мировой экономики от расширения глобальной отрасли хедж- фондов (доклад)</w:t>
            </w:r>
          </w:p>
        </w:tc>
        <w:tc>
          <w:tcPr>
            <w:tcW w:w="5964" w:type="dxa"/>
          </w:tcPr>
          <w:p>
            <w:pPr>
              <w:pStyle w:val="TableParagraph"/>
              <w:ind w:right="94"/>
              <w:rPr>
                <w:sz w:val="24"/>
              </w:rPr>
            </w:pPr>
            <w:r>
              <w:rPr>
                <w:sz w:val="24"/>
              </w:rPr>
              <w:t>Международный форум на тему: «Экономическая политика России в условиях глобальной турбулентности» (Москва, Финансовый университет, 24-26 ноября 2014 г.).</w:t>
            </w:r>
          </w:p>
        </w:tc>
      </w:tr>
      <w:tr>
        <w:trPr>
          <w:trHeight w:val="1655" w:hRule="atLeast"/>
        </w:trPr>
        <w:tc>
          <w:tcPr>
            <w:tcW w:w="588" w:type="dxa"/>
          </w:tcPr>
          <w:p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336" w:type="dxa"/>
          </w:tcPr>
          <w:p>
            <w:pPr>
              <w:pStyle w:val="TableParagraph"/>
              <w:tabs>
                <w:tab w:pos="1065" w:val="left" w:leader="none"/>
                <w:tab w:pos="1988" w:val="left" w:leader="none"/>
              </w:tabs>
              <w:ind w:right="9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Новая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волна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финансовой глобализации:</w:t>
            </w:r>
          </w:p>
          <w:p>
            <w:pPr>
              <w:pStyle w:val="TableParagraph"/>
              <w:ind w:right="100"/>
              <w:jc w:val="left"/>
              <w:rPr>
                <w:sz w:val="24"/>
              </w:rPr>
            </w:pPr>
            <w:r>
              <w:rPr>
                <w:sz w:val="24"/>
              </w:rPr>
              <w:t>«количественные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смягчения», хедж-фонды, риски (доклад)</w:t>
            </w:r>
          </w:p>
        </w:tc>
        <w:tc>
          <w:tcPr>
            <w:tcW w:w="5964" w:type="dxa"/>
          </w:tcPr>
          <w:p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Открытый научный семинар «Количественные методы в финансах» (Москва, Высшая школа финансов и менеджмента ФГБОУВО Российская академия народного хозяйства и государственной службы при Президенте Российской Федерации, 21 мая 2015 г.)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  <w:spacing w:before="7"/>
      </w:pPr>
    </w:p>
    <w:p>
      <w:pPr>
        <w:pStyle w:val="BodyText"/>
        <w:tabs>
          <w:tab w:pos="8023" w:val="left" w:leader="none"/>
        </w:tabs>
        <w:spacing w:before="1"/>
        <w:ind w:left="140"/>
      </w:pPr>
      <w:r>
        <w:rPr>
          <w:spacing w:val="-2"/>
        </w:rPr>
        <w:t>Соискатель</w:t>
      </w:r>
      <w:r>
        <w:rPr/>
        <w:tab/>
        <w:t>И.О.</w:t>
      </w:r>
      <w:r>
        <w:rPr>
          <w:spacing w:val="-5"/>
        </w:rPr>
        <w:t> </w:t>
      </w:r>
      <w:r>
        <w:rPr>
          <w:spacing w:val="-2"/>
        </w:rPr>
        <w:t>Фамилия</w:t>
      </w:r>
    </w:p>
    <w:p>
      <w:pPr>
        <w:pStyle w:val="BodyText"/>
        <w:spacing w:before="245"/>
      </w:pPr>
    </w:p>
    <w:p>
      <w:pPr>
        <w:pStyle w:val="BodyText"/>
        <w:ind w:left="140"/>
      </w:pPr>
      <w:r>
        <w:rPr>
          <w:spacing w:val="-2"/>
        </w:rPr>
        <w:t>Верно:</w:t>
      </w:r>
    </w:p>
    <w:p>
      <w:pPr>
        <w:pStyle w:val="BodyText"/>
      </w:pPr>
    </w:p>
    <w:p>
      <w:pPr>
        <w:tabs>
          <w:tab w:pos="1997" w:val="left" w:leader="none"/>
          <w:tab w:pos="3949" w:val="left" w:leader="none"/>
        </w:tabs>
        <w:spacing w:before="0"/>
        <w:ind w:left="140" w:right="4641" w:firstLine="0"/>
        <w:jc w:val="left"/>
        <w:rPr>
          <w:i/>
          <w:sz w:val="24"/>
        </w:rPr>
      </w:pPr>
      <w:r>
        <w:rPr>
          <w:spacing w:val="-2"/>
          <w:sz w:val="24"/>
        </w:rPr>
        <w:t>Руководитель</w:t>
      </w:r>
      <w:r>
        <w:rPr>
          <w:sz w:val="24"/>
        </w:rPr>
        <w:tab/>
      </w:r>
      <w:r>
        <w:rPr>
          <w:spacing w:val="-2"/>
          <w:sz w:val="24"/>
        </w:rPr>
        <w:t>(</w:t>
      </w:r>
      <w:r>
        <w:rPr>
          <w:i/>
          <w:spacing w:val="-2"/>
          <w:sz w:val="24"/>
          <w:u w:val="single"/>
        </w:rPr>
        <w:t>наименование</w:t>
      </w:r>
      <w:r>
        <w:rPr>
          <w:i/>
          <w:sz w:val="24"/>
          <w:u w:val="single"/>
        </w:rPr>
        <w:tab/>
      </w:r>
      <w:r>
        <w:rPr>
          <w:i/>
          <w:spacing w:val="-2"/>
          <w:sz w:val="24"/>
          <w:u w:val="single"/>
        </w:rPr>
        <w:t>структурного</w:t>
      </w:r>
      <w:r>
        <w:rPr>
          <w:i/>
          <w:spacing w:val="-2"/>
          <w:sz w:val="24"/>
        </w:rPr>
        <w:t> </w:t>
      </w:r>
      <w:r>
        <w:rPr>
          <w:i/>
          <w:spacing w:val="-2"/>
          <w:sz w:val="24"/>
          <w:u w:val="single"/>
        </w:rPr>
        <w:t>подразделения)</w:t>
      </w:r>
    </w:p>
    <w:p>
      <w:pPr>
        <w:pStyle w:val="BodyText"/>
        <w:tabs>
          <w:tab w:pos="1619" w:val="left" w:leader="none"/>
          <w:tab w:pos="3055" w:val="left" w:leader="none"/>
          <w:tab w:pos="4149" w:val="left" w:leader="none"/>
        </w:tabs>
        <w:ind w:left="140" w:right="4638"/>
      </w:pPr>
      <w:r>
        <w:rPr/>
        <w:t>федерального</w:t>
      </w:r>
      <w:r>
        <w:rPr>
          <w:spacing w:val="40"/>
        </w:rPr>
        <w:t> </w:t>
      </w:r>
      <w:r>
        <w:rPr/>
        <w:t>государственного</w:t>
      </w:r>
      <w:r>
        <w:rPr>
          <w:spacing w:val="40"/>
        </w:rPr>
        <w:t> </w:t>
      </w:r>
      <w:r>
        <w:rPr/>
        <w:t>образовательного </w:t>
      </w:r>
      <w:r>
        <w:rPr>
          <w:spacing w:val="-2"/>
        </w:rPr>
        <w:t>бюджетного</w:t>
      </w:r>
      <w:r>
        <w:rPr/>
        <w:tab/>
      </w:r>
      <w:r>
        <w:rPr>
          <w:spacing w:val="-2"/>
        </w:rPr>
        <w:t>учреждения</w:t>
      </w:r>
      <w:r>
        <w:rPr/>
        <w:tab/>
      </w:r>
      <w:r>
        <w:rPr>
          <w:spacing w:val="-2"/>
        </w:rPr>
        <w:t>высшего</w:t>
      </w:r>
      <w:r>
        <w:rPr/>
        <w:tab/>
      </w:r>
      <w:r>
        <w:rPr>
          <w:spacing w:val="-2"/>
        </w:rPr>
        <w:t>образования</w:t>
      </w:r>
    </w:p>
    <w:p>
      <w:pPr>
        <w:pStyle w:val="BodyText"/>
        <w:tabs>
          <w:tab w:pos="1802" w:val="left" w:leader="none"/>
          <w:tab w:pos="3302" w:val="left" w:leader="none"/>
          <w:tab w:pos="3912" w:val="left" w:leader="none"/>
        </w:tabs>
        <w:ind w:left="140" w:right="4639"/>
      </w:pPr>
      <w:r>
        <w:rPr>
          <w:spacing w:val="-2"/>
        </w:rPr>
        <w:t>«Финансовый</w:t>
      </w:r>
      <w:r>
        <w:rPr/>
        <w:tab/>
      </w:r>
      <w:r>
        <w:rPr>
          <w:spacing w:val="-2"/>
        </w:rPr>
        <w:t>университет</w:t>
      </w:r>
      <w:r>
        <w:rPr/>
        <w:tab/>
      </w:r>
      <w:r>
        <w:rPr>
          <w:spacing w:val="-4"/>
        </w:rPr>
        <w:t>при</w:t>
      </w:r>
      <w:r>
        <w:rPr/>
        <w:tab/>
      </w:r>
      <w:r>
        <w:rPr>
          <w:spacing w:val="-2"/>
        </w:rPr>
        <w:t>Правительстве </w:t>
      </w:r>
      <w:r>
        <w:rPr/>
        <w:t>Российской Федерации»,</w:t>
      </w:r>
    </w:p>
    <w:p>
      <w:pPr>
        <w:pStyle w:val="BodyText"/>
        <w:tabs>
          <w:tab w:pos="8192" w:val="left" w:leader="none"/>
        </w:tabs>
        <w:ind w:left="140"/>
      </w:pPr>
      <w:r>
        <w:rPr/>
        <w:t>ученая</w:t>
      </w:r>
      <w:r>
        <w:rPr>
          <w:spacing w:val="-4"/>
        </w:rPr>
        <w:t> </w:t>
      </w:r>
      <w:r>
        <w:rPr/>
        <w:t>степень,</w:t>
      </w:r>
      <w:r>
        <w:rPr>
          <w:spacing w:val="-2"/>
        </w:rPr>
        <w:t> </w:t>
      </w:r>
      <w:r>
        <w:rPr/>
        <w:t>ученое</w:t>
      </w:r>
      <w:r>
        <w:rPr>
          <w:spacing w:val="-2"/>
        </w:rPr>
        <w:t> звание</w:t>
      </w:r>
      <w:r>
        <w:rPr/>
        <w:tab/>
        <w:t>И.О.</w:t>
      </w:r>
      <w:r>
        <w:rPr>
          <w:spacing w:val="-5"/>
        </w:rPr>
        <w:t> </w:t>
      </w:r>
      <w:r>
        <w:rPr>
          <w:spacing w:val="-2"/>
        </w:rPr>
        <w:t>Фамилия</w:t>
      </w:r>
    </w:p>
    <w:sectPr>
      <w:pgSz w:w="11910" w:h="16840"/>
      <w:pgMar w:top="1100" w:bottom="280" w:left="992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76"/>
      <w:ind w:left="424"/>
      <w:jc w:val="center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ind w:left="108"/>
      <w:jc w:val="both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Долгополова Анастасия Валерьевна</dc:creator>
  <dcterms:created xsi:type="dcterms:W3CDTF">2025-09-17T13:00:11Z</dcterms:created>
  <dcterms:modified xsi:type="dcterms:W3CDTF">2025-09-17T13:00:11Z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2025-09-17T00:00:00Z</vt:filetime>
  </property>
  <property fmtid="{D5CDD505-2E9C-101B-9397-08002B2CF9AE}" pid="5" name="Producer">
    <vt:lpwstr>Microsoft® Word 2010</vt:lpwstr>
  </property>
</Properties>
</file>