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 xml:space="preserve">Финансовые рынки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банки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ДЭФР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en-US" w:bidi="ar-SA"/>
        </w:rPr>
        <w:t>22-2в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7897883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388</Words>
  <Characters>3019</Characters>
  <CharactersWithSpaces>3568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2025-08-26T14:13:29Z</dcterms:modified>
  <cp:revision>18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