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E5" w:rsidRPr="007770E5" w:rsidRDefault="007770E5" w:rsidP="007770E5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770E5">
        <w:rPr>
          <w:rFonts w:ascii="Times New Roman" w:eastAsia="Calibri" w:hAnsi="Times New Roman" w:cs="Times New Roman"/>
          <w:b/>
          <w:sz w:val="32"/>
          <w:szCs w:val="32"/>
        </w:rPr>
        <w:t>Примерный перечень вопросов и практико-ориентированных заданий к государственному экзамену для студентов заочной форм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  <w:r w:rsidRPr="007770E5">
        <w:rPr>
          <w:rFonts w:ascii="Times New Roman" w:eastAsia="Calibri" w:hAnsi="Times New Roman" w:cs="Times New Roman"/>
          <w:b/>
          <w:sz w:val="32"/>
          <w:szCs w:val="32"/>
        </w:rPr>
        <w:t xml:space="preserve"> обучения, обучающихся по направлению 38.03.01«Экономика», </w:t>
      </w:r>
    </w:p>
    <w:p w:rsidR="007770E5" w:rsidRDefault="007770E5" w:rsidP="007770E5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770E5">
        <w:rPr>
          <w:rFonts w:ascii="Times New Roman" w:eastAsia="Calibri" w:hAnsi="Times New Roman" w:cs="Times New Roman"/>
          <w:b/>
          <w:sz w:val="32"/>
          <w:szCs w:val="32"/>
        </w:rPr>
        <w:t>профиль «</w:t>
      </w:r>
      <w:r>
        <w:rPr>
          <w:rFonts w:ascii="Times New Roman" w:eastAsia="Calibri" w:hAnsi="Times New Roman" w:cs="Times New Roman"/>
          <w:b/>
          <w:sz w:val="32"/>
          <w:szCs w:val="32"/>
        </w:rPr>
        <w:t>У</w:t>
      </w:r>
      <w:r w:rsidRPr="007770E5">
        <w:rPr>
          <w:rFonts w:ascii="Times New Roman" w:eastAsia="Calibri" w:hAnsi="Times New Roman" w:cs="Times New Roman"/>
          <w:b/>
          <w:sz w:val="32"/>
          <w:szCs w:val="32"/>
        </w:rPr>
        <w:t>чет, анализ и аудит»</w:t>
      </w:r>
    </w:p>
    <w:p w:rsidR="007770E5" w:rsidRPr="007770E5" w:rsidRDefault="007770E5" w:rsidP="007770E5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</w:p>
    <w:p w:rsidR="007770E5" w:rsidRPr="007770E5" w:rsidRDefault="007770E5" w:rsidP="007770E5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770E5">
        <w:rPr>
          <w:rFonts w:ascii="Times New Roman" w:eastAsia="Calibri" w:hAnsi="Times New Roman" w:cs="Times New Roman"/>
          <w:b/>
          <w:sz w:val="32"/>
          <w:szCs w:val="32"/>
        </w:rPr>
        <w:t>1.Примерные вопросы</w:t>
      </w:r>
    </w:p>
    <w:p w:rsidR="0058018C" w:rsidRDefault="0058018C" w:rsidP="005801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Новая экономика как часть постиндустриальной экономики. Инновации в новой экономике. </w:t>
      </w:r>
    </w:p>
    <w:p w:rsidR="0058018C" w:rsidRPr="00B61DB4" w:rsidRDefault="0058018C" w:rsidP="0058018C">
      <w:pPr>
        <w:pStyle w:val="Default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2. Рыночная система: спрос, предложение и рыночное равновесие. </w:t>
      </w:r>
    </w:p>
    <w:p w:rsidR="0058018C" w:rsidRPr="00B61DB4" w:rsidRDefault="0058018C" w:rsidP="0058018C">
      <w:pPr>
        <w:pStyle w:val="Default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>3. Теория потребительского поведения</w:t>
      </w:r>
      <w:r w:rsidR="00790057" w:rsidRPr="00B61DB4">
        <w:rPr>
          <w:sz w:val="28"/>
          <w:szCs w:val="28"/>
        </w:rPr>
        <w:t xml:space="preserve"> и ее основные модели. Выбор потребителя в условиях неопределенности и риска.</w:t>
      </w:r>
      <w:r w:rsidRPr="00B61DB4">
        <w:rPr>
          <w:sz w:val="28"/>
          <w:szCs w:val="28"/>
        </w:rPr>
        <w:t xml:space="preserve">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4. Теория эластичности спроса и предложения. Фактор времени в экономике.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5. </w:t>
      </w:r>
      <w:r w:rsidR="00790057" w:rsidRPr="00B61DB4">
        <w:rPr>
          <w:sz w:val="28"/>
          <w:szCs w:val="28"/>
        </w:rPr>
        <w:t>Инфляция: понятие, показатели, виды. Кейнсианская и монетаристская трактовки причин инфляции</w:t>
      </w:r>
      <w:r w:rsidRPr="00B61DB4">
        <w:rPr>
          <w:sz w:val="28"/>
          <w:szCs w:val="28"/>
        </w:rPr>
        <w:t xml:space="preserve">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6. Доход и издержки фирмы. Равновесие (оптимум) фирмы в кратко- и долгосрочном периодах.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7. Рынок труда и безработица. Социально-экономические последствия безработицы. Закон </w:t>
      </w:r>
      <w:proofErr w:type="spellStart"/>
      <w:r w:rsidRPr="00B61DB4">
        <w:rPr>
          <w:sz w:val="28"/>
          <w:szCs w:val="28"/>
        </w:rPr>
        <w:t>А.Оукена</w:t>
      </w:r>
      <w:proofErr w:type="spellEnd"/>
      <w:r w:rsidRPr="00B61DB4">
        <w:rPr>
          <w:sz w:val="28"/>
          <w:szCs w:val="28"/>
        </w:rPr>
        <w:t xml:space="preserve">. Роль государства и профсоюзов на рынке труда.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8. </w:t>
      </w:r>
      <w:r w:rsidR="00790057" w:rsidRPr="00B61DB4">
        <w:rPr>
          <w:sz w:val="28"/>
          <w:szCs w:val="28"/>
        </w:rPr>
        <w:t>Способы исчисления валового внутреннего продукта (ВВП)</w:t>
      </w:r>
      <w:r w:rsidRPr="00B61DB4">
        <w:rPr>
          <w:sz w:val="28"/>
          <w:szCs w:val="28"/>
        </w:rPr>
        <w:t xml:space="preserve">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9. Тенденции развития крупного бизнеса. Современные подходы к теории крупной корпорации.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10. </w:t>
      </w:r>
      <w:r w:rsidR="00790057" w:rsidRPr="00B61DB4">
        <w:rPr>
          <w:sz w:val="28"/>
          <w:szCs w:val="28"/>
        </w:rPr>
        <w:t>Конкуренция, условия становления, основные функции и практическое значение. Ценовая и неценовая конкуренция в современных условиях.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11. </w:t>
      </w:r>
      <w:r w:rsidR="00790057" w:rsidRPr="00B61DB4">
        <w:rPr>
          <w:sz w:val="28"/>
          <w:szCs w:val="28"/>
        </w:rPr>
        <w:t>Сущность и основные черты чистой монополии. Максимизация прибыли чистой монополией</w:t>
      </w:r>
      <w:r w:rsidRPr="00B61DB4">
        <w:rPr>
          <w:sz w:val="28"/>
          <w:szCs w:val="28"/>
        </w:rPr>
        <w:t xml:space="preserve">. </w:t>
      </w:r>
    </w:p>
    <w:p w:rsidR="0058018C" w:rsidRPr="00B61DB4" w:rsidRDefault="0058018C" w:rsidP="0058018C">
      <w:pPr>
        <w:pStyle w:val="Default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12. Классическая и кейнсианская модели равновесия на товарных рынках. Модель совокупных расходов и доходов или «кейнсианский крест». </w:t>
      </w:r>
    </w:p>
    <w:p w:rsidR="0058018C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>13. Циклический характер развития современной экономики. Теории экономического цикла.</w:t>
      </w:r>
      <w:r>
        <w:rPr>
          <w:sz w:val="28"/>
          <w:szCs w:val="28"/>
        </w:rPr>
        <w:t xml:space="preserve"> </w:t>
      </w:r>
    </w:p>
    <w:p w:rsidR="0058018C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Монетарная политика: инструменты, направления, эффективность. </w:t>
      </w:r>
    </w:p>
    <w:p w:rsidR="0058018C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Экономический рост: сущность, факторы, типы, модели, качество. </w:t>
      </w:r>
    </w:p>
    <w:p w:rsidR="0058018C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Кейнсианские модели экономического роста. Эффекты мультипликатора и акселератора. </w:t>
      </w:r>
    </w:p>
    <w:p w:rsidR="0058018C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Международная экономическая интеграция в системе международных экономических отношений. Глобализация мировой экономики: факторы, направления, этапы. Риски глобализации. </w:t>
      </w:r>
    </w:p>
    <w:p w:rsidR="0058018C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Финансовая политика: сущность, цели, задачи. Взаимосвязь финансовой стратегии, тактики и финансового механизма. Современная финансовая политика РФ. </w:t>
      </w:r>
    </w:p>
    <w:p w:rsidR="0058018C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 Финансовое планирование и прогнозирование как неотъемлемая часть финансовой деятельности государства и хозяйствующих субъектов: функции, методы, инструменты. </w:t>
      </w:r>
    </w:p>
    <w:p w:rsidR="0058018C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Предпринимательская деятельность предприятия. Важнейшие черты предпринимательства. Экономические, социальные и правовые условия, необходимые для предпринимательской деятельности. </w:t>
      </w:r>
    </w:p>
    <w:p w:rsidR="0058018C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Государственные внебюджетные фонды РФ: сущность, назначение, основные виды. Характеристика государственных социальных внебюджетных фондов. </w:t>
      </w:r>
    </w:p>
    <w:p w:rsidR="0058018C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Бюджет государства: сущность, функции и роль в регулировании социально-экономических процессов. </w:t>
      </w:r>
    </w:p>
    <w:p w:rsidR="0058018C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Экономическое содержание и функции прибыли. Виды прибыли и порядок их формирования. Принципы распределения прибыли и направления ее использования. </w:t>
      </w:r>
    </w:p>
    <w:p w:rsidR="0058018C" w:rsidRDefault="0058018C" w:rsidP="005801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Основной капитал предприятия: экономическое содержание, состав, источники формирования. Характеристика элементов основного капитала и их роль в увеличении доходов предприятия. Механизм воспроизводства и оценка эффективности использования элементов основного капитала. </w:t>
      </w:r>
    </w:p>
    <w:p w:rsidR="0058018C" w:rsidRDefault="0058018C" w:rsidP="0058018C">
      <w:pPr>
        <w:pStyle w:val="Default"/>
        <w:spacing w:after="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Оборотный капитал предприятия: сущность, состав и структура, источники формирования, оценка эффективности использования. </w:t>
      </w:r>
    </w:p>
    <w:p w:rsidR="0058018C" w:rsidRDefault="0058018C" w:rsidP="0058018C">
      <w:pPr>
        <w:pStyle w:val="Default"/>
        <w:spacing w:after="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Понятие банковской системы, ее свойства, принципы построения, элементы. Макроэкономические факторы развития банковской системы. </w:t>
      </w:r>
    </w:p>
    <w:p w:rsidR="0058018C" w:rsidRDefault="0058018C" w:rsidP="0058018C">
      <w:pPr>
        <w:pStyle w:val="Default"/>
        <w:spacing w:after="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Кредитная система и ее структура. Современное состояние кредитной системы России. Понятие инфраструктуры кредитной системы. </w:t>
      </w:r>
    </w:p>
    <w:p w:rsidR="0058018C" w:rsidRDefault="0058018C" w:rsidP="0058018C">
      <w:pPr>
        <w:pStyle w:val="Default"/>
        <w:spacing w:after="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Финансовая система, характеристика ее сфер и звеньев. </w:t>
      </w:r>
    </w:p>
    <w:p w:rsidR="0058018C" w:rsidRDefault="0058018C" w:rsidP="0058018C">
      <w:pPr>
        <w:pStyle w:val="Default"/>
        <w:spacing w:after="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Финансовый рынок как инструмент мобилизации финансовых ресурсов. </w:t>
      </w:r>
    </w:p>
    <w:p w:rsidR="0058018C" w:rsidRDefault="0058018C" w:rsidP="005801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Бюджетная система Российской Федерации, ее структура, принципы, правовые основы построения и функционирования. </w:t>
      </w:r>
    </w:p>
    <w:p w:rsidR="0058018C" w:rsidRPr="007770E5" w:rsidRDefault="0058018C" w:rsidP="0058018C">
      <w:pPr>
        <w:pStyle w:val="Default"/>
        <w:jc w:val="center"/>
        <w:rPr>
          <w:b/>
          <w:bCs/>
          <w:sz w:val="28"/>
          <w:szCs w:val="28"/>
        </w:rPr>
      </w:pPr>
      <w:r w:rsidRPr="007770E5">
        <w:rPr>
          <w:b/>
          <w:bCs/>
          <w:sz w:val="28"/>
          <w:szCs w:val="28"/>
        </w:rPr>
        <w:t xml:space="preserve">Вопросы на основе содержания профиля </w:t>
      </w:r>
    </w:p>
    <w:p w:rsidR="0058018C" w:rsidRPr="007770E5" w:rsidRDefault="0058018C" w:rsidP="0058018C">
      <w:pPr>
        <w:pStyle w:val="Default"/>
        <w:jc w:val="center"/>
        <w:rPr>
          <w:sz w:val="28"/>
          <w:szCs w:val="28"/>
        </w:rPr>
      </w:pPr>
      <w:r w:rsidRPr="007770E5">
        <w:rPr>
          <w:b/>
          <w:bCs/>
          <w:sz w:val="28"/>
          <w:szCs w:val="28"/>
        </w:rPr>
        <w:t>«Учет, анализ и аудит»</w:t>
      </w:r>
    </w:p>
    <w:p w:rsidR="0058018C" w:rsidRDefault="0058018C" w:rsidP="005801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Понятие, классификация, порядок оценки и документального оформления основных средств. </w:t>
      </w:r>
    </w:p>
    <w:p w:rsidR="0058018C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Понятие, классификация, порядок оценки и документального оформления отдельных видов нематериальных активов. </w:t>
      </w:r>
    </w:p>
    <w:p w:rsidR="0058018C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Учет поступления, амортизации и выбытия основных средств.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4. Определение, классификация, порядок оценки и документального оформления материально-производственных запасов.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5. Учёт выпуска и реализации готовой продукции.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6. Учет денежных средств </w:t>
      </w:r>
      <w:r w:rsidR="007412A1" w:rsidRPr="00B61DB4">
        <w:rPr>
          <w:sz w:val="28"/>
          <w:szCs w:val="28"/>
        </w:rPr>
        <w:t>в организациях</w:t>
      </w:r>
      <w:r w:rsidRPr="00B61DB4">
        <w:rPr>
          <w:sz w:val="28"/>
          <w:szCs w:val="28"/>
        </w:rPr>
        <w:t xml:space="preserve">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7. Учет финансовых вложений: понятие, классификация, оценка и документальное оформление.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lastRenderedPageBreak/>
        <w:t xml:space="preserve">8. Учет расчетов с покупателями и заказчиками. Порядок учета резервов по сомнительным долгам.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9. Учет расчетов с поставщиками и подрядчиками.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10. Учет расчетов с бюджетом по налогам и сборам.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11. Учет расчетов по оплате труда.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12. Методы учета затрат и </w:t>
      </w:r>
      <w:proofErr w:type="spellStart"/>
      <w:r w:rsidRPr="00B61DB4">
        <w:rPr>
          <w:sz w:val="28"/>
          <w:szCs w:val="28"/>
        </w:rPr>
        <w:t>калькулирования</w:t>
      </w:r>
      <w:proofErr w:type="spellEnd"/>
      <w:r w:rsidRPr="00B61DB4">
        <w:rPr>
          <w:sz w:val="28"/>
          <w:szCs w:val="28"/>
        </w:rPr>
        <w:t xml:space="preserve"> себестоимости в отечественной и зарубежной практике.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13. Состав, содержание, формы бухгалтерской (финансовой) отчетности и их экономическое содержание.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14. Международные стандарты финансовой отчетности (МСФО) и их базовые принципы.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>15. Детерминированные факторные модели</w:t>
      </w:r>
      <w:r w:rsidR="007412A1" w:rsidRPr="00B61DB4">
        <w:rPr>
          <w:sz w:val="28"/>
          <w:szCs w:val="28"/>
        </w:rPr>
        <w:t>: виды, способы моделирования</w:t>
      </w:r>
      <w:r w:rsidRPr="00B61DB4">
        <w:rPr>
          <w:sz w:val="28"/>
          <w:szCs w:val="28"/>
        </w:rPr>
        <w:t xml:space="preserve"> и их</w:t>
      </w:r>
      <w:r w:rsidR="007412A1" w:rsidRPr="00B61DB4">
        <w:rPr>
          <w:sz w:val="28"/>
          <w:szCs w:val="28"/>
        </w:rPr>
        <w:t xml:space="preserve"> использование в экономическом анализе</w:t>
      </w:r>
      <w:r w:rsidRPr="00B61DB4">
        <w:rPr>
          <w:sz w:val="28"/>
          <w:szCs w:val="28"/>
        </w:rPr>
        <w:t xml:space="preserve">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16. Анализ деловой активности организации: система показателей, источники информации, оценка их динамики.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17. Анализ взаимосвязи затрат, объема деятельности и прибыли. Методы анализа безубыточности. </w:t>
      </w:r>
    </w:p>
    <w:p w:rsidR="0058018C" w:rsidRPr="00B61DB4" w:rsidRDefault="0058018C" w:rsidP="0058018C">
      <w:pPr>
        <w:pStyle w:val="Default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18. Анализ движения денежных средств и его роль в оценке финансового состояния организации.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19. Методика диагностики вероятности банкротства организации: цели, задачи и этапы проведения анализа.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20. Анализ дебиторской и кредиторской задолженности организации. Обоснование и выбор кредитной политики коммерческой организации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21. Анализ материальных ресурсов: цели, источники информации, оценка обеспеченности и эффективности использования. Методы оптимизации запасов.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22. Анализ </w:t>
      </w:r>
      <w:r w:rsidR="007412A1" w:rsidRPr="00B61DB4">
        <w:rPr>
          <w:sz w:val="28"/>
          <w:szCs w:val="28"/>
        </w:rPr>
        <w:t>ликвидности баланса и платежеспособности организации</w:t>
      </w:r>
      <w:r w:rsidRPr="00B61DB4">
        <w:rPr>
          <w:sz w:val="28"/>
          <w:szCs w:val="28"/>
        </w:rPr>
        <w:t xml:space="preserve">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23. Анализ финансовой устойчивости организации. Оценка рациональности структуры источников финансирования. Эффект финансового рычага.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24. Аналитические возможности бухгалтерской (финансовой) отчетности с учетом информационных запросов различных групп пользователей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25. Понятие системы внутреннего контроля, ее значение для аудита, основные элементы системы внутреннего контроля, их содержание.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26. Аудит основных средств и нематериальных активов.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27. Аудиторские доказательства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28. Аудит материально-производственных запасов </w:t>
      </w:r>
    </w:p>
    <w:p w:rsidR="0058018C" w:rsidRPr="00B61DB4" w:rsidRDefault="0058018C" w:rsidP="0058018C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 xml:space="preserve">29. Аудит труда и заработной платы </w:t>
      </w:r>
    </w:p>
    <w:p w:rsidR="0058018C" w:rsidRDefault="0058018C" w:rsidP="0058018C">
      <w:pPr>
        <w:pStyle w:val="Default"/>
        <w:ind w:firstLine="709"/>
        <w:jc w:val="both"/>
        <w:rPr>
          <w:sz w:val="28"/>
          <w:szCs w:val="28"/>
        </w:rPr>
      </w:pPr>
      <w:r w:rsidRPr="00B61DB4">
        <w:rPr>
          <w:sz w:val="28"/>
          <w:szCs w:val="28"/>
        </w:rPr>
        <w:t>30. Аудит бухгалтерской (финансовой) отчетности.</w:t>
      </w:r>
      <w:r>
        <w:rPr>
          <w:sz w:val="28"/>
          <w:szCs w:val="28"/>
        </w:rPr>
        <w:t xml:space="preserve"> </w:t>
      </w:r>
    </w:p>
    <w:p w:rsidR="007770E5" w:rsidRDefault="007770E5" w:rsidP="005801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70E5" w:rsidRPr="007770E5" w:rsidRDefault="007770E5" w:rsidP="007770E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770E5">
        <w:rPr>
          <w:rFonts w:ascii="Times New Roman" w:eastAsia="Calibri" w:hAnsi="Times New Roman" w:cs="Times New Roman"/>
          <w:b/>
          <w:sz w:val="32"/>
          <w:szCs w:val="32"/>
        </w:rPr>
        <w:lastRenderedPageBreak/>
        <w:t>2. Практико-ориентированные задания</w:t>
      </w:r>
    </w:p>
    <w:p w:rsidR="007770E5" w:rsidRPr="007770E5" w:rsidRDefault="007770E5" w:rsidP="007770E5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770E5" w:rsidRPr="007770E5" w:rsidRDefault="007770E5" w:rsidP="007770E5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1). Постройте аналитическую систему зависимости объема производства продукции от количества дней, отработанных одним рабочим, среднесписочной численности рабочих и других взаимосвязанных факторов. </w:t>
      </w:r>
    </w:p>
    <w:p w:rsidR="007770E5" w:rsidRPr="007770E5" w:rsidRDefault="007770E5" w:rsidP="007770E5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0E5">
        <w:rPr>
          <w:rFonts w:ascii="Times New Roman" w:eastAsia="Calibri" w:hAnsi="Times New Roman" w:cs="Times New Roman"/>
          <w:sz w:val="28"/>
          <w:szCs w:val="28"/>
        </w:rPr>
        <w:t>На основе приведенной в таблице 1 информации определите расчетные показатели.</w:t>
      </w:r>
    </w:p>
    <w:p w:rsidR="007770E5" w:rsidRPr="007770E5" w:rsidRDefault="007770E5" w:rsidP="007770E5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0E5">
        <w:rPr>
          <w:rFonts w:ascii="Times New Roman" w:eastAsia="Calibri" w:hAnsi="Times New Roman" w:cs="Times New Roman"/>
          <w:sz w:val="28"/>
          <w:szCs w:val="28"/>
        </w:rPr>
        <w:t>Факторный анализ выполните способом относительных разниц.</w:t>
      </w:r>
    </w:p>
    <w:p w:rsidR="007770E5" w:rsidRPr="007770E5" w:rsidRDefault="007770E5" w:rsidP="007770E5">
      <w:pPr>
        <w:widowControl w:val="0"/>
        <w:spacing w:after="0" w:line="360" w:lineRule="auto"/>
        <w:jc w:val="right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770E5">
        <w:rPr>
          <w:rFonts w:ascii="Times New Roman" w:eastAsia="Arial Unicode MS" w:hAnsi="Times New Roman" w:cs="Times New Roman"/>
          <w:sz w:val="28"/>
          <w:szCs w:val="28"/>
          <w:lang w:eastAsia="ru-RU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1"/>
        <w:gridCol w:w="1897"/>
        <w:gridCol w:w="2051"/>
      </w:tblGrid>
      <w:tr w:rsidR="007770E5" w:rsidRPr="007770E5" w:rsidTr="00C006A3">
        <w:trPr>
          <w:trHeight w:val="338"/>
        </w:trPr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Фактически </w:t>
            </w:r>
          </w:p>
        </w:tc>
      </w:tr>
      <w:tr w:rsidR="007770E5" w:rsidRPr="007770E5" w:rsidTr="00C006A3"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производства продукции, руб.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>15999360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>16717193</w:t>
            </w:r>
          </w:p>
        </w:tc>
      </w:tr>
      <w:tr w:rsidR="007770E5" w:rsidRPr="007770E5" w:rsidTr="00C006A3"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Отработано дней одним рабочим за год, дней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</w:tr>
      <w:tr w:rsidR="007770E5" w:rsidRPr="007770E5" w:rsidTr="00C006A3"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Среднесписочная численность рабочих, чел.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>168</w:t>
            </w:r>
          </w:p>
        </w:tc>
      </w:tr>
      <w:tr w:rsidR="007770E5" w:rsidRPr="007770E5" w:rsidTr="00C006A3"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Продолжительность рабочего дня, час.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E5" w:rsidRPr="007770E5" w:rsidRDefault="007770E5" w:rsidP="007770E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0E5">
              <w:rPr>
                <w:rFonts w:ascii="Times New Roman" w:eastAsia="Calibri" w:hAnsi="Times New Roman" w:cs="Times New Roman"/>
                <w:sz w:val="28"/>
                <w:szCs w:val="28"/>
              </w:rPr>
              <w:t>7,6</w:t>
            </w:r>
          </w:p>
        </w:tc>
      </w:tr>
    </w:tbl>
    <w:p w:rsidR="007770E5" w:rsidRPr="007770E5" w:rsidRDefault="007770E5" w:rsidP="007770E5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7770E5" w:rsidRPr="007770E5" w:rsidRDefault="007770E5" w:rsidP="007770E5">
      <w:pPr>
        <w:widowControl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0E5">
        <w:rPr>
          <w:rFonts w:ascii="Times New Roman" w:eastAsia="Calibri" w:hAnsi="Times New Roman" w:cs="Times New Roman"/>
          <w:sz w:val="28"/>
          <w:szCs w:val="28"/>
        </w:rPr>
        <w:t>2). По балансу предприятия на определенную дату имеются следующие данные:</w:t>
      </w:r>
    </w:p>
    <w:p w:rsidR="007770E5" w:rsidRPr="007770E5" w:rsidRDefault="007770E5" w:rsidP="007770E5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0E5">
        <w:rPr>
          <w:rFonts w:ascii="Times New Roman" w:eastAsia="Calibri" w:hAnsi="Times New Roman" w:cs="Times New Roman"/>
          <w:sz w:val="28"/>
          <w:szCs w:val="28"/>
        </w:rPr>
        <w:t xml:space="preserve">1. Запасы – 2000 </w:t>
      </w:r>
      <w:proofErr w:type="spellStart"/>
      <w:r w:rsidRPr="007770E5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7770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70E5" w:rsidRPr="007770E5" w:rsidRDefault="007770E5" w:rsidP="007770E5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0E5">
        <w:rPr>
          <w:rFonts w:ascii="Times New Roman" w:eastAsia="Calibri" w:hAnsi="Times New Roman" w:cs="Times New Roman"/>
          <w:sz w:val="28"/>
          <w:szCs w:val="28"/>
        </w:rPr>
        <w:t xml:space="preserve">2. Дебиторская задолженность – 1500 </w:t>
      </w:r>
      <w:proofErr w:type="spellStart"/>
      <w:r w:rsidRPr="007770E5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7770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70E5" w:rsidRPr="007770E5" w:rsidRDefault="007770E5" w:rsidP="007770E5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0E5">
        <w:rPr>
          <w:rFonts w:ascii="Times New Roman" w:eastAsia="Calibri" w:hAnsi="Times New Roman" w:cs="Times New Roman"/>
          <w:sz w:val="28"/>
          <w:szCs w:val="28"/>
        </w:rPr>
        <w:t xml:space="preserve">3. Кредиторская задолженность –  3000 </w:t>
      </w:r>
      <w:proofErr w:type="spellStart"/>
      <w:r w:rsidRPr="007770E5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7770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70E5" w:rsidRPr="007770E5" w:rsidRDefault="007770E5" w:rsidP="007770E5">
      <w:pPr>
        <w:widowControl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0E5">
        <w:rPr>
          <w:rFonts w:ascii="Times New Roman" w:eastAsia="Calibri" w:hAnsi="Times New Roman" w:cs="Times New Roman"/>
          <w:b/>
          <w:sz w:val="28"/>
          <w:szCs w:val="28"/>
        </w:rPr>
        <w:t>Задание.</w:t>
      </w:r>
      <w:r w:rsidRPr="007770E5">
        <w:rPr>
          <w:rFonts w:ascii="Times New Roman" w:eastAsia="Calibri" w:hAnsi="Times New Roman" w:cs="Times New Roman"/>
          <w:sz w:val="28"/>
          <w:szCs w:val="28"/>
        </w:rPr>
        <w:t xml:space="preserve"> Определить величину финансово-эксплуатационной потребности (рабочий капитал) предприятия на туже дату.</w:t>
      </w:r>
    </w:p>
    <w:p w:rsidR="007770E5" w:rsidRPr="007770E5" w:rsidRDefault="007770E5" w:rsidP="007770E5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7770E5" w:rsidRPr="007770E5" w:rsidRDefault="007770E5" w:rsidP="007770E5">
      <w:pPr>
        <w:widowControl w:val="0"/>
        <w:spacing w:after="0" w:line="360" w:lineRule="auto"/>
        <w:ind w:firstLine="3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0E5">
        <w:rPr>
          <w:rFonts w:ascii="Times New Roman" w:eastAsia="Calibri" w:hAnsi="Times New Roman" w:cs="Times New Roman"/>
          <w:sz w:val="28"/>
          <w:szCs w:val="28"/>
          <w:lang w:eastAsia="ru-RU"/>
        </w:rPr>
        <w:t>3). ОАО «Восток» создано в 2010г., на момент проведения аудита уставный капитал сформирован не полностью. В феврале отчетного 2017 года (</w:t>
      </w:r>
      <w:proofErr w:type="spellStart"/>
      <w:r w:rsidRPr="007770E5">
        <w:rPr>
          <w:rFonts w:ascii="Times New Roman" w:eastAsia="Calibri" w:hAnsi="Times New Roman" w:cs="Times New Roman"/>
          <w:sz w:val="28"/>
          <w:szCs w:val="28"/>
          <w:lang w:eastAsia="ru-RU"/>
        </w:rPr>
        <w:t>аудируемого</w:t>
      </w:r>
      <w:proofErr w:type="spellEnd"/>
      <w:r w:rsidRPr="00777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периода) на ОАО «Восток» было принято решение об увеличении уставного капитала. По данным документов акционер Фролов Е.К., владеющий акциями новой эмиссии номинальной стоимостью 17 тыс. руб., внес в марте этого же года в счет оплаты акций станок, стоимость которого была оценена по согласованию с другими акционерами в 17 000 руб. Оценщик, привлеченный аудитором, </w:t>
      </w:r>
      <w:r w:rsidRPr="007770E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установил, что стоимость станка равна 15 000 руб. Требуется:</w:t>
      </w:r>
    </w:p>
    <w:p w:rsidR="007770E5" w:rsidRPr="007770E5" w:rsidRDefault="007770E5" w:rsidP="007770E5">
      <w:pPr>
        <w:widowControl w:val="0"/>
        <w:numPr>
          <w:ilvl w:val="0"/>
          <w:numId w:val="1"/>
        </w:numPr>
        <w:tabs>
          <w:tab w:val="left" w:pos="894"/>
        </w:tabs>
        <w:spacing w:after="0" w:line="36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0E5">
        <w:rPr>
          <w:rFonts w:ascii="Times New Roman" w:eastAsia="Calibri" w:hAnsi="Times New Roman" w:cs="Times New Roman"/>
          <w:sz w:val="28"/>
          <w:szCs w:val="28"/>
          <w:lang w:val="en-US"/>
        </w:rPr>
        <w:t>Ha</w:t>
      </w:r>
      <w:r w:rsidRPr="007770E5">
        <w:rPr>
          <w:rFonts w:ascii="Times New Roman" w:eastAsia="Calibri" w:hAnsi="Times New Roman" w:cs="Times New Roman"/>
          <w:sz w:val="28"/>
          <w:szCs w:val="28"/>
        </w:rPr>
        <w:tab/>
      </w:r>
      <w:r w:rsidRPr="007770E5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основании собранных данных охарактеризуйте соблюдение норм действующего законодательства по данному разделу учета.</w:t>
      </w:r>
    </w:p>
    <w:p w:rsidR="007770E5" w:rsidRPr="007770E5" w:rsidRDefault="007770E5" w:rsidP="007770E5">
      <w:pPr>
        <w:widowControl w:val="0"/>
        <w:numPr>
          <w:ilvl w:val="0"/>
          <w:numId w:val="1"/>
        </w:numPr>
        <w:tabs>
          <w:tab w:val="left" w:pos="591"/>
        </w:tabs>
        <w:spacing w:after="0" w:line="36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Систематизируйте выявленные искажения и оформите результаты проверки для включения в письменную информацию аудитора руководству </w:t>
      </w:r>
      <w:proofErr w:type="spellStart"/>
      <w:r w:rsidRPr="007770E5">
        <w:rPr>
          <w:rFonts w:ascii="Times New Roman" w:eastAsia="Calibri" w:hAnsi="Times New Roman" w:cs="Times New Roman"/>
          <w:sz w:val="28"/>
          <w:szCs w:val="28"/>
          <w:lang w:eastAsia="ru-RU"/>
        </w:rPr>
        <w:t>аудируемого</w:t>
      </w:r>
      <w:proofErr w:type="spellEnd"/>
      <w:r w:rsidRPr="00777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 по результатам аудита (отчет аудитора). </w:t>
      </w:r>
    </w:p>
    <w:p w:rsidR="007770E5" w:rsidRPr="007770E5" w:rsidRDefault="007770E5" w:rsidP="007770E5">
      <w:pPr>
        <w:widowControl w:val="0"/>
        <w:tabs>
          <w:tab w:val="left" w:pos="591"/>
        </w:tabs>
        <w:spacing w:after="0" w:line="360" w:lineRule="auto"/>
        <w:ind w:left="4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0E5">
        <w:rPr>
          <w:rFonts w:ascii="Times New Roman" w:eastAsia="Calibri" w:hAnsi="Times New Roman" w:cs="Times New Roman"/>
          <w:sz w:val="28"/>
          <w:szCs w:val="28"/>
          <w:lang w:eastAsia="ru-RU"/>
        </w:rPr>
        <w:t>Укажите правильные варианты отражения хозяйственных операций.</w:t>
      </w:r>
    </w:p>
    <w:p w:rsidR="007770E5" w:rsidRPr="007770E5" w:rsidRDefault="007770E5" w:rsidP="007770E5">
      <w:pPr>
        <w:widowControl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770E5">
        <w:rPr>
          <w:rFonts w:ascii="Times New Roman" w:eastAsia="Calibri" w:hAnsi="Times New Roman" w:cs="Times New Roman"/>
          <w:sz w:val="28"/>
          <w:szCs w:val="28"/>
          <w:lang w:eastAsia="ru-RU"/>
        </w:rPr>
        <w:t>4).</w:t>
      </w:r>
      <w:r w:rsidRPr="007770E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Рабочий-повременщик 4 разряда отработал в сентябре (согласно табелю) 148 часов. Часовая тарифная ставка рабочего по этому разряду 120 руб. По положению о </w:t>
      </w:r>
      <w:proofErr w:type="gramStart"/>
      <w:r w:rsidRPr="007770E5">
        <w:rPr>
          <w:rFonts w:ascii="Times New Roman" w:eastAsia="Calibri" w:hAnsi="Times New Roman" w:cs="Times New Roman"/>
          <w:sz w:val="28"/>
          <w:szCs w:val="20"/>
          <w:lang w:eastAsia="ru-RU"/>
        </w:rPr>
        <w:t>премировании  начисляется</w:t>
      </w:r>
      <w:proofErr w:type="gramEnd"/>
      <w:r w:rsidRPr="007770E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премия в размере 35% от заработка по тарифным ставкам с учетом фактически отработанного времени.</w:t>
      </w:r>
    </w:p>
    <w:p w:rsidR="007770E5" w:rsidRPr="007770E5" w:rsidRDefault="007770E5" w:rsidP="007770E5">
      <w:pPr>
        <w:widowControl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770E5">
        <w:rPr>
          <w:rFonts w:ascii="Times New Roman" w:eastAsia="Calibri" w:hAnsi="Times New Roman" w:cs="Times New Roman"/>
          <w:sz w:val="28"/>
          <w:szCs w:val="20"/>
          <w:lang w:eastAsia="ru-RU"/>
        </w:rPr>
        <w:t>Требуется:</w:t>
      </w:r>
    </w:p>
    <w:p w:rsidR="007770E5" w:rsidRPr="007770E5" w:rsidRDefault="007770E5" w:rsidP="007770E5">
      <w:pPr>
        <w:widowControl w:val="0"/>
        <w:numPr>
          <w:ilvl w:val="0"/>
          <w:numId w:val="2"/>
        </w:num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0E5">
        <w:rPr>
          <w:rFonts w:ascii="Times New Roman" w:eastAsia="Calibri" w:hAnsi="Times New Roman" w:cs="Times New Roman"/>
          <w:sz w:val="28"/>
          <w:szCs w:val="28"/>
        </w:rPr>
        <w:t>Начислить заработную плату.</w:t>
      </w:r>
    </w:p>
    <w:p w:rsidR="007770E5" w:rsidRPr="007770E5" w:rsidRDefault="007770E5" w:rsidP="007770E5">
      <w:pPr>
        <w:widowControl w:val="0"/>
        <w:numPr>
          <w:ilvl w:val="0"/>
          <w:numId w:val="2"/>
        </w:num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0E5">
        <w:rPr>
          <w:rFonts w:ascii="Times New Roman" w:eastAsia="Calibri" w:hAnsi="Times New Roman" w:cs="Times New Roman"/>
          <w:sz w:val="28"/>
          <w:szCs w:val="28"/>
        </w:rPr>
        <w:t>Произвести удержания, при условии, что у работника на иждивении 1 ребенок.</w:t>
      </w:r>
    </w:p>
    <w:p w:rsidR="007770E5" w:rsidRPr="007770E5" w:rsidRDefault="007770E5" w:rsidP="007770E5">
      <w:pPr>
        <w:widowControl w:val="0"/>
        <w:numPr>
          <w:ilvl w:val="0"/>
          <w:numId w:val="2"/>
        </w:num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0E5">
        <w:rPr>
          <w:rFonts w:ascii="Times New Roman" w:eastAsia="Calibri" w:hAnsi="Times New Roman" w:cs="Times New Roman"/>
          <w:sz w:val="28"/>
          <w:szCs w:val="28"/>
        </w:rPr>
        <w:t>Составить бухгалтерские записи по произведенным операциям.</w:t>
      </w:r>
    </w:p>
    <w:p w:rsidR="007770E5" w:rsidRPr="007770E5" w:rsidRDefault="007770E5" w:rsidP="007770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70E5" w:rsidRPr="007770E5" w:rsidRDefault="007770E5" w:rsidP="007770E5">
      <w:pPr>
        <w:widowControl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0E5">
        <w:rPr>
          <w:rFonts w:ascii="Times New Roman" w:eastAsia="Calibri" w:hAnsi="Times New Roman" w:cs="Times New Roman"/>
          <w:sz w:val="28"/>
          <w:szCs w:val="28"/>
        </w:rPr>
        <w:t xml:space="preserve">5). Балансовая стоимость ликвидируемого объекта ОС – 76 820руб., амортизация, начисленная к моменту ликвидации объекта – 46 640руб., расходы по ликвидации 11 240руб </w:t>
      </w:r>
      <w:proofErr w:type="gramStart"/>
      <w:r w:rsidRPr="007770E5">
        <w:rPr>
          <w:rFonts w:ascii="Times New Roman" w:eastAsia="Calibri" w:hAnsi="Times New Roman" w:cs="Times New Roman"/>
          <w:sz w:val="28"/>
          <w:szCs w:val="28"/>
        </w:rPr>
        <w:t>( з</w:t>
      </w:r>
      <w:proofErr w:type="gramEnd"/>
      <w:r w:rsidRPr="007770E5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7770E5">
        <w:rPr>
          <w:rFonts w:ascii="Times New Roman" w:eastAsia="Calibri" w:hAnsi="Times New Roman" w:cs="Times New Roman"/>
          <w:sz w:val="28"/>
          <w:szCs w:val="28"/>
        </w:rPr>
        <w:t>пл</w:t>
      </w:r>
      <w:proofErr w:type="spellEnd"/>
      <w:r w:rsidRPr="007770E5">
        <w:rPr>
          <w:rFonts w:ascii="Times New Roman" w:eastAsia="Calibri" w:hAnsi="Times New Roman" w:cs="Times New Roman"/>
          <w:sz w:val="28"/>
          <w:szCs w:val="28"/>
        </w:rPr>
        <w:t xml:space="preserve"> – 7 868,00, отчисления – 3 372,00)., стоимость оприходованных после ликвидации материальных ценностей составила 1960 руб. Требуется:</w:t>
      </w:r>
    </w:p>
    <w:p w:rsidR="007770E5" w:rsidRPr="007770E5" w:rsidRDefault="007770E5" w:rsidP="007770E5">
      <w:pPr>
        <w:widowControl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0E5">
        <w:rPr>
          <w:rFonts w:ascii="Times New Roman" w:eastAsia="Calibri" w:hAnsi="Times New Roman" w:cs="Times New Roman"/>
          <w:sz w:val="28"/>
          <w:szCs w:val="28"/>
        </w:rPr>
        <w:t>1. Рассчитать результат от ликвидации объекта ОС.</w:t>
      </w:r>
    </w:p>
    <w:p w:rsidR="007770E5" w:rsidRPr="007770E5" w:rsidRDefault="007770E5" w:rsidP="007770E5">
      <w:pPr>
        <w:widowControl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0E5">
        <w:rPr>
          <w:rFonts w:ascii="Times New Roman" w:eastAsia="Calibri" w:hAnsi="Times New Roman" w:cs="Times New Roman"/>
          <w:sz w:val="28"/>
          <w:szCs w:val="28"/>
        </w:rPr>
        <w:t>2. Отразить в учете операции по ликвидации объекта ОС.</w:t>
      </w:r>
    </w:p>
    <w:p w:rsidR="007770E5" w:rsidRDefault="007770E5" w:rsidP="0058018C">
      <w:pPr>
        <w:pStyle w:val="Default"/>
        <w:ind w:firstLine="709"/>
        <w:jc w:val="both"/>
        <w:rPr>
          <w:sz w:val="28"/>
          <w:szCs w:val="28"/>
        </w:rPr>
      </w:pPr>
    </w:p>
    <w:p w:rsidR="00096956" w:rsidRDefault="00096956"/>
    <w:sectPr w:rsidR="00096956" w:rsidSect="0058018C">
      <w:pgSz w:w="11911" w:h="17340"/>
      <w:pgMar w:top="1522" w:right="571" w:bottom="931" w:left="14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0606B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30FA2C80"/>
    <w:multiLevelType w:val="hybridMultilevel"/>
    <w:tmpl w:val="D054E4FA"/>
    <w:lvl w:ilvl="0" w:tplc="E03272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8C"/>
    <w:rsid w:val="00096956"/>
    <w:rsid w:val="0058018C"/>
    <w:rsid w:val="007412A1"/>
    <w:rsid w:val="007770E5"/>
    <w:rsid w:val="00790057"/>
    <w:rsid w:val="009A6090"/>
    <w:rsid w:val="00B6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8DD7"/>
  <w15:chartTrackingRefBased/>
  <w15:docId w15:val="{4EE14E09-3308-45B1-83CF-A93B50E2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8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cp:lastPrinted>2021-09-14T08:42:00Z</cp:lastPrinted>
  <dcterms:created xsi:type="dcterms:W3CDTF">2021-12-30T12:59:00Z</dcterms:created>
  <dcterms:modified xsi:type="dcterms:W3CDTF">2021-12-30T12:59:00Z</dcterms:modified>
</cp:coreProperties>
</file>