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11D91" w14:textId="77777777" w:rsidR="007C6330" w:rsidRDefault="0052708E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ПРИМЕРНЫЙ ПЕРЕЧЕНЬ ТЕМ </w:t>
      </w:r>
    </w:p>
    <w:p w14:paraId="2F7817F9" w14:textId="77777777" w:rsidR="007C6330" w:rsidRDefault="0052708E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выпускных квалификационных работ  </w:t>
      </w:r>
    </w:p>
    <w:p w14:paraId="2D3C6C32" w14:textId="77777777" w:rsidR="007C6330" w:rsidRDefault="0052708E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Кафедры корпоративных финансов и корпоративного управления </w:t>
      </w:r>
    </w:p>
    <w:p w14:paraId="020F919C" w14:textId="77777777" w:rsidR="007C6330" w:rsidRDefault="0052708E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на 2026/2027 учебный год </w:t>
      </w:r>
    </w:p>
    <w:p w14:paraId="2A51C02D" w14:textId="77777777" w:rsidR="007C6330" w:rsidRDefault="007C6330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</w:p>
    <w:p w14:paraId="1D46422A" w14:textId="77777777" w:rsidR="007C6330" w:rsidRDefault="0052708E">
      <w:pPr>
        <w:autoSpaceDE w:val="0"/>
        <w:autoSpaceDN w:val="0"/>
        <w:adjustRightInd w:val="0"/>
        <w:spacing w:before="120"/>
        <w:jc w:val="center"/>
        <w:rPr>
          <w:b/>
          <w:szCs w:val="28"/>
        </w:rPr>
      </w:pPr>
      <w:r>
        <w:rPr>
          <w:b/>
          <w:szCs w:val="28"/>
        </w:rPr>
        <w:t>Направление «Экономика»</w:t>
      </w:r>
    </w:p>
    <w:p w14:paraId="2B64F823" w14:textId="77777777" w:rsidR="007C6330" w:rsidRDefault="0052708E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профиль «Корпоративные финансы и оценка собственности»</w:t>
      </w:r>
    </w:p>
    <w:p w14:paraId="5B901701" w14:textId="77777777" w:rsidR="007C6330" w:rsidRDefault="007C6330">
      <w:pPr>
        <w:jc w:val="center"/>
        <w:rPr>
          <w:b/>
          <w:szCs w:val="28"/>
        </w:rPr>
      </w:pPr>
    </w:p>
    <w:p w14:paraId="41CF555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Анализ и оценка залоговых портфелей российских коммерческих банков (на примере конкретного банка)</w:t>
      </w:r>
      <w:bookmarkStart w:id="0" w:name="_GoBack"/>
      <w:bookmarkEnd w:id="0"/>
    </w:p>
    <w:p w14:paraId="4A0A75A6" w14:textId="018E2CFF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Влияние нематериальных активов на </w:t>
      </w:r>
      <w:r w:rsidR="00E466FF">
        <w:rPr>
          <w:szCs w:val="28"/>
        </w:rPr>
        <w:t>инвестиционную привлекательность</w:t>
      </w:r>
      <w:r>
        <w:rPr>
          <w:szCs w:val="28"/>
        </w:rPr>
        <w:t xml:space="preserve"> компаний (на примере конкретной отрасли)</w:t>
      </w:r>
    </w:p>
    <w:p w14:paraId="0E50493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Влияние цифровых технологий на процесс оценки имущества и бизнеса</w:t>
      </w:r>
    </w:p>
    <w:p w14:paraId="391633CD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Доходный подход для оценки бизнеса: новые возможности и границы применения </w:t>
      </w:r>
    </w:p>
    <w:p w14:paraId="23CE115F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Использование мультипликаторов при оценке стоимости компаний (на примере различных отраслей).</w:t>
      </w:r>
    </w:p>
    <w:p w14:paraId="337D3172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Методы определения коэффициента капитализации для оценки стоимости объектов недвижимости (на примере конкретного объекта недвижимости)</w:t>
      </w:r>
    </w:p>
    <w:p w14:paraId="64DEA446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Методы сравнительного подхода к оценке бизнеса: характеристика особенностей применения в современных условиях. </w:t>
      </w:r>
    </w:p>
    <w:p w14:paraId="4C5104AB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Определение ликвидационной стоимости активов и бизнеса: проблемы российской практики и пути их решения</w:t>
      </w:r>
    </w:p>
    <w:p w14:paraId="5B2CFBE5" w14:textId="54FAFF8C" w:rsidR="007C6330" w:rsidRDefault="00323F2B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 w:rsidRPr="00323F2B">
        <w:rPr>
          <w:szCs w:val="28"/>
        </w:rPr>
        <w:t>Оценка стоимости устойчивых финансовых инструментов (социальные и ESG-облигации) на российском рынке</w:t>
      </w:r>
    </w:p>
    <w:p w14:paraId="67C86FFB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Определение терминальной стоимости при оценке российского бизнеса: проблемы и пути их решения</w:t>
      </w:r>
    </w:p>
    <w:p w14:paraId="0F7CF0B0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и методы оценки стоимости нематериальных активов (на примере конкретного вида НМА).</w:t>
      </w:r>
    </w:p>
    <w:p w14:paraId="472A571F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оценки автозаправочных станций (на примере конкретной сети автозаправок)</w:t>
      </w:r>
    </w:p>
    <w:p w14:paraId="3E5D092B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оценки стоимости компаний в сфере цифровых технологий</w:t>
      </w:r>
    </w:p>
    <w:p w14:paraId="12358659" w14:textId="084E502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Особенности оценки парков автотранспортных средств (на </w:t>
      </w:r>
      <w:r w:rsidR="00FA509E">
        <w:rPr>
          <w:szCs w:val="28"/>
        </w:rPr>
        <w:t xml:space="preserve">конкретном </w:t>
      </w:r>
      <w:r>
        <w:rPr>
          <w:szCs w:val="28"/>
        </w:rPr>
        <w:t>примере)</w:t>
      </w:r>
    </w:p>
    <w:p w14:paraId="2A6FC200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оценки публичных компаний на российском рынке (на примере конкретной отрасли)</w:t>
      </w:r>
    </w:p>
    <w:p w14:paraId="1C724049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оценки различных по уровню контроля пакетов акций</w:t>
      </w:r>
    </w:p>
    <w:p w14:paraId="6618F288" w14:textId="717C4733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lastRenderedPageBreak/>
        <w:t xml:space="preserve">Особенности оценки стоимости </w:t>
      </w:r>
      <w:r w:rsidR="0092710C">
        <w:rPr>
          <w:szCs w:val="28"/>
        </w:rPr>
        <w:t>программного обеспечения</w:t>
      </w:r>
      <w:r>
        <w:rPr>
          <w:szCs w:val="28"/>
        </w:rPr>
        <w:t xml:space="preserve"> компании (на конкретно</w:t>
      </w:r>
      <w:r w:rsidR="0092710C">
        <w:rPr>
          <w:szCs w:val="28"/>
        </w:rPr>
        <w:t>м</w:t>
      </w:r>
      <w:r>
        <w:rPr>
          <w:szCs w:val="28"/>
        </w:rPr>
        <w:t xml:space="preserve"> </w:t>
      </w:r>
      <w:r w:rsidR="0092710C">
        <w:rPr>
          <w:szCs w:val="28"/>
        </w:rPr>
        <w:t>примере</w:t>
      </w:r>
      <w:r>
        <w:rPr>
          <w:szCs w:val="28"/>
        </w:rPr>
        <w:t>)</w:t>
      </w:r>
    </w:p>
    <w:p w14:paraId="661D2638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оценки стоимости коммерческой недвижимости (на примере конкретного объекта коммерческой недвижимости)</w:t>
      </w:r>
    </w:p>
    <w:p w14:paraId="075011E2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Особенности оценки стоимости компаний, занимающихся электронной коммерцией </w:t>
      </w:r>
    </w:p>
    <w:p w14:paraId="25CAAEEB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Особенности стоимостной оценки финансовых активов публичных акционерных обществ с государственным участием (на примере конкретного ПАО)</w:t>
      </w:r>
    </w:p>
    <w:p w14:paraId="6BA54077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Специфика оценки объектов интеллектуальной собственности (на примере конкретного вида ОИС) </w:t>
      </w:r>
    </w:p>
    <w:p w14:paraId="3DA6FFEE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недвижимости для целей ипотечного кредитования (на примере конкретного объекта недвижимости)</w:t>
      </w:r>
    </w:p>
    <w:p w14:paraId="20B79D68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рыночной стоимости земельного участка в составе имущественного комплекса организации (на примере конкретной организации)</w:t>
      </w:r>
    </w:p>
    <w:p w14:paraId="0E6B046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рыночной стоимости офисной недвижимости (на конкретном примере).</w:t>
      </w:r>
    </w:p>
    <w:p w14:paraId="3A954E9E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активов для целей залога (на примере конкретного вида активов)</w:t>
      </w:r>
    </w:p>
    <w:p w14:paraId="0CF5E3C2" w14:textId="77777777" w:rsidR="007C6330" w:rsidRDefault="0052708E">
      <w:pPr>
        <w:numPr>
          <w:ilvl w:val="0"/>
          <w:numId w:val="1"/>
        </w:numPr>
        <w:tabs>
          <w:tab w:val="left" w:pos="426"/>
          <w:tab w:val="left" w:pos="2160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коммерческой недвижимости методами доходного подхода</w:t>
      </w:r>
    </w:p>
    <w:p w14:paraId="502F5394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машин и оборудования в составе имущественного комплекса организации (на примере конкретной организации)</w:t>
      </w:r>
    </w:p>
    <w:p w14:paraId="42A64742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Оценка стоимости объектов многофункциональной недвижимости </w:t>
      </w:r>
    </w:p>
    <w:p w14:paraId="00087770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производственной недвижимости (на примере конкретной организации)</w:t>
      </w:r>
    </w:p>
    <w:p w14:paraId="5FDAA999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товарного знака (на примере компании конкретной отрасли)</w:t>
      </w:r>
    </w:p>
    <w:p w14:paraId="62A94F56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Оценка стоимости цифровых финансовых активов </w:t>
      </w:r>
    </w:p>
    <w:p w14:paraId="3140132F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Применение метода компании-аналога при оценке российских компаний: современные проблемы и пути их решения (на примере различных отраслей).</w:t>
      </w:r>
    </w:p>
    <w:p w14:paraId="022CC04E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Применение методов доходного подхода для оценки стоимости компании (на примере компании конкретной отрасли)</w:t>
      </w:r>
    </w:p>
    <w:p w14:paraId="09DA15BB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инвестиционной привлекательности публичной компании на российском рынке (на примере конкретной компании)</w:t>
      </w:r>
    </w:p>
    <w:p w14:paraId="0E804C8E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Российская практика оценки недвижимости методами доходного подхода: анализ и перспективы развития</w:t>
      </w:r>
    </w:p>
    <w:p w14:paraId="6B058EB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lastRenderedPageBreak/>
        <w:t>Российская практика оценки недвижимости методами сравнительного подхода: проблемы и пути их решения</w:t>
      </w:r>
    </w:p>
    <w:p w14:paraId="4F41A4DD" w14:textId="365012CE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Российская практика оценки рыночной стоимости движимого имущества организаций (на примере конкретной организации)</w:t>
      </w:r>
      <w:r w:rsidR="00FA509E">
        <w:rPr>
          <w:szCs w:val="28"/>
        </w:rPr>
        <w:t>.</w:t>
      </w:r>
    </w:p>
    <w:p w14:paraId="38EE3E41" w14:textId="47E0B53A" w:rsidR="00FA509E" w:rsidRDefault="00FA509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 w:rsidRPr="00FA509E">
        <w:rPr>
          <w:szCs w:val="28"/>
        </w:rPr>
        <w:t>Разработка модели оценки стоимости компаний с интеграцией ESG-показателей в методы доходного подхода</w:t>
      </w:r>
    </w:p>
    <w:p w14:paraId="245E9D5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Российская практика оценки стоимости недвижимости методами затратного подхода (на примере конкретного объекта недвижимости)</w:t>
      </w:r>
    </w:p>
    <w:p w14:paraId="5CC79B8D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Оценка стоимости доменных имен как средств индивидуализации</w:t>
      </w:r>
    </w:p>
    <w:p w14:paraId="70A754D9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Современные методы оценки финансовых активов: проблемы применения на российском рынке и пути их решения </w:t>
      </w:r>
    </w:p>
    <w:p w14:paraId="5E6F06D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Современные модели определения ставки дисконтирования при оценке российского бизнеса (на примере конкретной отрасли)</w:t>
      </w:r>
    </w:p>
    <w:p w14:paraId="646713D7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Специфика оценки высокотехнологичных и инновационно-ориентированных компаний (на примере конкретной компании) </w:t>
      </w:r>
    </w:p>
    <w:p w14:paraId="61710ADA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Сравнительный подход к оценке бизнеса и особенности его применения в современных условиях</w:t>
      </w:r>
    </w:p>
    <w:p w14:paraId="31AB5B5D" w14:textId="78EDEA59" w:rsidR="00E466FF" w:rsidRPr="00E466FF" w:rsidRDefault="00E466FF" w:rsidP="00E466FF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 w:rsidRPr="00E466FF">
        <w:rPr>
          <w:szCs w:val="28"/>
        </w:rPr>
        <w:t xml:space="preserve">Сравнительная оценка стоимости «зеленых» и «коричневых» компаний (на примере </w:t>
      </w:r>
      <w:r>
        <w:rPr>
          <w:szCs w:val="28"/>
        </w:rPr>
        <w:t>конкретной отрасли</w:t>
      </w:r>
      <w:r w:rsidRPr="00E466FF">
        <w:rPr>
          <w:szCs w:val="28"/>
        </w:rPr>
        <w:t>)</w:t>
      </w:r>
    </w:p>
    <w:p w14:paraId="48BA2EAD" w14:textId="76F4429F" w:rsidR="007C6330" w:rsidRDefault="00E466FF" w:rsidP="00E466FF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 w:rsidRPr="00E466FF">
        <w:rPr>
          <w:szCs w:val="28"/>
        </w:rPr>
        <w:t>Оценка влияния выкупа акций на рыночную стоимость публичной компании в условиях высокой волатильности</w:t>
      </w:r>
      <w:r>
        <w:rPr>
          <w:szCs w:val="28"/>
        </w:rPr>
        <w:t xml:space="preserve"> финансовых рынков</w:t>
      </w:r>
      <w:r w:rsidR="0052708E">
        <w:rPr>
          <w:szCs w:val="28"/>
        </w:rPr>
        <w:t>.</w:t>
      </w:r>
    </w:p>
    <w:p w14:paraId="299D88C0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 xml:space="preserve">Оценка инвестиционной привлекательности российских цифровых компаний </w:t>
      </w:r>
    </w:p>
    <w:p w14:paraId="1B9408CA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Cs w:val="28"/>
        </w:rPr>
      </w:pPr>
      <w:r>
        <w:rPr>
          <w:szCs w:val="28"/>
        </w:rPr>
        <w:t>Цифровые активы как объекты стоимостной оценки.</w:t>
      </w:r>
    </w:p>
    <w:p w14:paraId="1921FB76" w14:textId="0EC1D5CE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 xml:space="preserve">Влияние дивидендной политики на </w:t>
      </w:r>
      <w:r w:rsidR="00E466FF">
        <w:rPr>
          <w:szCs w:val="28"/>
        </w:rPr>
        <w:t>инвестиционную привлекательность</w:t>
      </w:r>
      <w:r>
        <w:rPr>
          <w:szCs w:val="28"/>
        </w:rPr>
        <w:t xml:space="preserve"> публичной компании</w:t>
      </w:r>
    </w:p>
    <w:p w14:paraId="47B89BAF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 xml:space="preserve"> Оценка эффективности инвестиционного проекта и его влияния на стоимость компании</w:t>
      </w:r>
    </w:p>
    <w:p w14:paraId="10395CCC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 xml:space="preserve"> Особенности оценки стоимости стартапа на ранней стадии: проблемы и методы</w:t>
      </w:r>
    </w:p>
    <w:p w14:paraId="03A9B7E2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 xml:space="preserve"> Сравнительный анализ методов оценки коммерческой недвижимости для целей залога при банковском кредитовании</w:t>
      </w:r>
    </w:p>
    <w:p w14:paraId="21000E4E" w14:textId="77777777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 xml:space="preserve"> Влияние ESG-факторов на капитализацию компании</w:t>
      </w:r>
    </w:p>
    <w:p w14:paraId="24F1D922" w14:textId="0650B0FC" w:rsidR="00323F2B" w:rsidRDefault="00323F2B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 w:rsidRPr="00323F2B">
        <w:rPr>
          <w:szCs w:val="28"/>
        </w:rPr>
        <w:t xml:space="preserve">Применение искусственного интеллекта для </w:t>
      </w:r>
      <w:r>
        <w:rPr>
          <w:szCs w:val="28"/>
        </w:rPr>
        <w:t>совершенствования</w:t>
      </w:r>
      <w:r w:rsidRPr="00323F2B">
        <w:rPr>
          <w:szCs w:val="28"/>
        </w:rPr>
        <w:t xml:space="preserve"> стоимостной оценки активов и бизнеса</w:t>
      </w:r>
    </w:p>
    <w:p w14:paraId="76E7348F" w14:textId="56375CD9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>Разработка системы предиктивной аналитики для управления финансовыми рисками компании на основе методов искусственного интеллекта</w:t>
      </w:r>
    </w:p>
    <w:p w14:paraId="22FFC1A2" w14:textId="77777777" w:rsidR="00323F2B" w:rsidRDefault="00323F2B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 w:rsidRPr="00323F2B">
        <w:rPr>
          <w:szCs w:val="28"/>
        </w:rPr>
        <w:lastRenderedPageBreak/>
        <w:t>Использование автономных ИИ-агентов при оценке эффективности инвестиционных проектов</w:t>
      </w:r>
    </w:p>
    <w:p w14:paraId="6B617916" w14:textId="2F2113C2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>Использование методов искусственного интеллекта для оценки кредитоспособности корпоративных заемщиков (на примере российской банковской практики)</w:t>
      </w:r>
    </w:p>
    <w:p w14:paraId="156F2CBE" w14:textId="67B6CADB" w:rsidR="007C6330" w:rsidRDefault="0052708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>Прогнозирование банкротства компаний с использованием машинного обучения (на примере российских компаний конкретной отрасли)</w:t>
      </w:r>
      <w:r w:rsidR="00E466FF">
        <w:rPr>
          <w:szCs w:val="28"/>
        </w:rPr>
        <w:t>.</w:t>
      </w:r>
    </w:p>
    <w:p w14:paraId="6A91139D" w14:textId="12955AF9" w:rsidR="00E466FF" w:rsidRDefault="00E466FF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 w:rsidRPr="00E466FF">
        <w:rPr>
          <w:szCs w:val="28"/>
        </w:rPr>
        <w:t>Оценка стоимости дата-центров (ЦОД) как коммерческой недвижимости</w:t>
      </w:r>
    </w:p>
    <w:p w14:paraId="06CFC153" w14:textId="45FA6C3F" w:rsidR="00FA509E" w:rsidRDefault="00FA509E">
      <w:pPr>
        <w:numPr>
          <w:ilvl w:val="0"/>
          <w:numId w:val="1"/>
        </w:numPr>
        <w:tabs>
          <w:tab w:val="left" w:pos="426"/>
        </w:tabs>
        <w:spacing w:after="120"/>
        <w:jc w:val="both"/>
        <w:rPr>
          <w:szCs w:val="28"/>
        </w:rPr>
      </w:pPr>
      <w:r>
        <w:rPr>
          <w:szCs w:val="28"/>
        </w:rPr>
        <w:t>Специфика о</w:t>
      </w:r>
      <w:r w:rsidRPr="00FA509E">
        <w:rPr>
          <w:szCs w:val="28"/>
        </w:rPr>
        <w:t>ценк</w:t>
      </w:r>
      <w:r>
        <w:rPr>
          <w:szCs w:val="28"/>
        </w:rPr>
        <w:t>и</w:t>
      </w:r>
      <w:r w:rsidRPr="00FA509E">
        <w:rPr>
          <w:szCs w:val="28"/>
        </w:rPr>
        <w:t xml:space="preserve"> стоимости бизнеса медицинских центров</w:t>
      </w:r>
      <w:r>
        <w:rPr>
          <w:szCs w:val="28"/>
        </w:rPr>
        <w:t xml:space="preserve"> (на конкретном примере)</w:t>
      </w:r>
    </w:p>
    <w:p w14:paraId="6514304A" w14:textId="77777777" w:rsidR="007C6330" w:rsidRDefault="007C6330">
      <w:pPr>
        <w:tabs>
          <w:tab w:val="left" w:pos="426"/>
        </w:tabs>
        <w:spacing w:after="120"/>
        <w:ind w:left="360"/>
        <w:jc w:val="both"/>
        <w:rPr>
          <w:szCs w:val="28"/>
        </w:rPr>
      </w:pPr>
    </w:p>
    <w:p w14:paraId="528D7AB9" w14:textId="77777777" w:rsidR="007C6330" w:rsidRDefault="007C6330">
      <w:pPr>
        <w:tabs>
          <w:tab w:val="left" w:pos="426"/>
        </w:tabs>
        <w:spacing w:after="120"/>
        <w:ind w:left="360"/>
        <w:jc w:val="both"/>
        <w:rPr>
          <w:szCs w:val="28"/>
        </w:rPr>
      </w:pPr>
    </w:p>
    <w:p w14:paraId="18A9DE01" w14:textId="77777777" w:rsidR="007C6330" w:rsidRDefault="007C6330">
      <w:pPr>
        <w:tabs>
          <w:tab w:val="left" w:pos="426"/>
        </w:tabs>
        <w:spacing w:before="120" w:after="120"/>
        <w:ind w:left="426"/>
        <w:jc w:val="both"/>
        <w:rPr>
          <w:szCs w:val="28"/>
        </w:rPr>
      </w:pPr>
    </w:p>
    <w:p w14:paraId="47B69B30" w14:textId="77777777" w:rsidR="007C6330" w:rsidRDefault="007C6330">
      <w:pPr>
        <w:tabs>
          <w:tab w:val="left" w:pos="426"/>
        </w:tabs>
        <w:spacing w:before="120" w:after="120"/>
        <w:ind w:left="426"/>
        <w:jc w:val="both"/>
        <w:rPr>
          <w:szCs w:val="28"/>
        </w:rPr>
      </w:pPr>
    </w:p>
    <w:p w14:paraId="436C5D93" w14:textId="77777777" w:rsidR="007C6330" w:rsidRDefault="007C6330">
      <w:pPr>
        <w:tabs>
          <w:tab w:val="left" w:pos="426"/>
        </w:tabs>
        <w:spacing w:before="120" w:after="120"/>
        <w:ind w:left="426"/>
        <w:jc w:val="both"/>
        <w:rPr>
          <w:szCs w:val="28"/>
        </w:rPr>
      </w:pPr>
    </w:p>
    <w:sectPr w:rsidR="007C6330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1BAC6" w14:textId="77777777" w:rsidR="00B23345" w:rsidRDefault="00B23345">
      <w:r>
        <w:separator/>
      </w:r>
    </w:p>
  </w:endnote>
  <w:endnote w:type="continuationSeparator" w:id="0">
    <w:p w14:paraId="479C0D66" w14:textId="77777777" w:rsidR="00B23345" w:rsidRDefault="00B2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F8784" w14:textId="77777777" w:rsidR="00B23345" w:rsidRDefault="00B23345">
      <w:r>
        <w:separator/>
      </w:r>
    </w:p>
  </w:footnote>
  <w:footnote w:type="continuationSeparator" w:id="0">
    <w:p w14:paraId="232FC7D9" w14:textId="77777777" w:rsidR="00B23345" w:rsidRDefault="00B23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36B7"/>
    <w:multiLevelType w:val="multilevel"/>
    <w:tmpl w:val="14B636B7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56"/>
    <w:rsid w:val="00001CE7"/>
    <w:rsid w:val="00004F44"/>
    <w:rsid w:val="000201EE"/>
    <w:rsid w:val="000901D0"/>
    <w:rsid w:val="00104708"/>
    <w:rsid w:val="00116589"/>
    <w:rsid w:val="00172EA0"/>
    <w:rsid w:val="00192E64"/>
    <w:rsid w:val="001F6436"/>
    <w:rsid w:val="00216A52"/>
    <w:rsid w:val="00224A41"/>
    <w:rsid w:val="002303FF"/>
    <w:rsid w:val="00267A17"/>
    <w:rsid w:val="002737B3"/>
    <w:rsid w:val="002B7056"/>
    <w:rsid w:val="0031431F"/>
    <w:rsid w:val="00323F2B"/>
    <w:rsid w:val="00363839"/>
    <w:rsid w:val="0036645C"/>
    <w:rsid w:val="00367964"/>
    <w:rsid w:val="003F4992"/>
    <w:rsid w:val="00466509"/>
    <w:rsid w:val="00470890"/>
    <w:rsid w:val="004C1EEB"/>
    <w:rsid w:val="004F686F"/>
    <w:rsid w:val="0052708E"/>
    <w:rsid w:val="00575847"/>
    <w:rsid w:val="005F0016"/>
    <w:rsid w:val="00613BCA"/>
    <w:rsid w:val="006A48D7"/>
    <w:rsid w:val="006E37BB"/>
    <w:rsid w:val="006F5B98"/>
    <w:rsid w:val="00701EA9"/>
    <w:rsid w:val="007379DE"/>
    <w:rsid w:val="00750922"/>
    <w:rsid w:val="007B7364"/>
    <w:rsid w:val="007C6330"/>
    <w:rsid w:val="007D376D"/>
    <w:rsid w:val="00836E43"/>
    <w:rsid w:val="008A6F5E"/>
    <w:rsid w:val="0092002C"/>
    <w:rsid w:val="0092710C"/>
    <w:rsid w:val="00952973"/>
    <w:rsid w:val="00960923"/>
    <w:rsid w:val="009726E0"/>
    <w:rsid w:val="00985D03"/>
    <w:rsid w:val="00A113AD"/>
    <w:rsid w:val="00A92BA3"/>
    <w:rsid w:val="00AB1FAF"/>
    <w:rsid w:val="00B23345"/>
    <w:rsid w:val="00B66435"/>
    <w:rsid w:val="00BD325F"/>
    <w:rsid w:val="00BE1C6E"/>
    <w:rsid w:val="00C02580"/>
    <w:rsid w:val="00C65867"/>
    <w:rsid w:val="00C77040"/>
    <w:rsid w:val="00CA01BA"/>
    <w:rsid w:val="00CE4640"/>
    <w:rsid w:val="00D65A4E"/>
    <w:rsid w:val="00D77616"/>
    <w:rsid w:val="00DC4A56"/>
    <w:rsid w:val="00DE270A"/>
    <w:rsid w:val="00DF6655"/>
    <w:rsid w:val="00E10AC0"/>
    <w:rsid w:val="00E146A8"/>
    <w:rsid w:val="00E466FF"/>
    <w:rsid w:val="00E93937"/>
    <w:rsid w:val="00ED3B8B"/>
    <w:rsid w:val="00EE2E97"/>
    <w:rsid w:val="00F16B58"/>
    <w:rsid w:val="00F42EB0"/>
    <w:rsid w:val="00FA509E"/>
    <w:rsid w:val="00FE1DD6"/>
    <w:rsid w:val="440318F6"/>
    <w:rsid w:val="75144A21"/>
    <w:rsid w:val="762C0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AD4CB"/>
  <w15:docId w15:val="{F1216FA7-5019-4416-BC4F-F293D1B7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6E38BC222AF149B3F0C6F48740B3AD" ma:contentTypeVersion="1" ma:contentTypeDescription="Создание документа." ma:contentTypeScope="" ma:versionID="6d32d230078a55b44228f44be4a566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DA0315-5FC6-4513-BFFE-FB1EE199E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DF394-1C40-4F98-B034-5407CCCEA0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B30AB9A-3D3D-4D9D-B867-EC02B449FF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ВКР</vt:lpstr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ВКР</dc:title>
  <dc:creator>Постовая Галина Николаевна</dc:creator>
  <cp:lastModifiedBy>Слепнева Татьяна Александровна</cp:lastModifiedBy>
  <cp:revision>2</cp:revision>
  <cp:lastPrinted>2016-09-14T14:15:00Z</cp:lastPrinted>
  <dcterms:created xsi:type="dcterms:W3CDTF">2026-09-23T12:07:00Z</dcterms:created>
  <dcterms:modified xsi:type="dcterms:W3CDTF">2026-09-23T12:07:00Z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0x010100256E38BC222AF149B3F0C6F48740B3AD</vt:lpwstr>
  </property>
  <property fmtid="{D5CDD505-2E9C-101B-9397-08002B2CF9AE}" pid="3" name="KSOProductBuildVer">
    <vt:lpwstr>1049-12.1.0.28485</vt:lpwstr>
  </property>
  <property fmtid="{D5CDD505-2E9C-101B-9397-08002B2CF9AE}" pid="4" name="ICV">
    <vt:lpwstr>F8C4FB3ADB784CD494D9848797767AE1_13</vt:lpwstr>
  </property>
  <property fmtid="{D5CDD505-2E9C-101B-9397-08002B2CF9AE}" pid="5" name="KSOTemplateDocerSaveRecord">
    <vt:lpwstr>eyJoZGlkIjoiMTRlNTk3ZmYxZGMxNDYwNmRjZmM5MjJjNzNkMGE3ZDYifQ==</vt:lpwstr>
  </property>
</Properties>
</file>