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88" w:rsidRDefault="00E06488" w:rsidP="00E06488">
      <w:pPr>
        <w:spacing w:line="276" w:lineRule="auto"/>
        <w:jc w:val="center"/>
      </w:pPr>
      <w:r>
        <w:t xml:space="preserve">Результат интеллектуальной деятельности </w:t>
      </w:r>
    </w:p>
    <w:p w:rsidR="00B1046D" w:rsidRDefault="00465AB8" w:rsidP="00E06488">
      <w:pPr>
        <w:spacing w:line="276" w:lineRule="auto"/>
        <w:jc w:val="center"/>
      </w:pPr>
      <w:r>
        <w:t>в виде секрета производства (ноу-хау)</w:t>
      </w:r>
    </w:p>
    <w:p w:rsidR="00E22AD5" w:rsidRDefault="00E22AD5" w:rsidP="00E22AD5">
      <w:pPr>
        <w:spacing w:line="276" w:lineRule="auto"/>
        <w:jc w:val="center"/>
        <w:rPr>
          <w:b/>
          <w:caps/>
        </w:rPr>
      </w:pPr>
      <w:r w:rsidRPr="00E22AD5">
        <w:rPr>
          <w:b/>
          <w:caps/>
        </w:rPr>
        <w:t>КОМПРОМИССНАЯ СХЕМА ПОВЫШЕНИЯ ПЕНСИОННОГО ВОЗРАСТА, ПРИЕМЛЕМАЯ В СЛОЖИВШИХСЯ И ПРОГНОЗИРУЕМЫХ ДЕМОГРАФИЧЕСКИХ И МАКРОЭКОНОМИЧЕСКИХ УСЛОВИЯХ, И ПРЕДЛОЖЕНИЯ ПО ВНЕСЕНИЮ ИЗМЕНЕНИЙ В ФЕДЕРАЛЬНОЕ ЗАКОНОДАТЕЛЬСТВО ДЛЯ ЕЕ РЕАЛИЗАЦИИ В СИСТЕМЕ ОБЯЗАТЕЛЬНОГО ПЕНСИОННОГО СТРАХОВАНИЯ В РОССИЙСКОЙ ФЕДЕРАЦИИ</w:t>
      </w:r>
    </w:p>
    <w:p w:rsidR="00E06488" w:rsidRDefault="00E06488" w:rsidP="00E22AD5">
      <w:pPr>
        <w:spacing w:line="276" w:lineRule="auto"/>
        <w:jc w:val="center"/>
      </w:pPr>
      <w:bookmarkStart w:id="0" w:name="OLE_LINK1"/>
      <w:r>
        <w:t>разработан в рамках научно-исследовательской работы по теме:</w:t>
      </w:r>
    </w:p>
    <w:p w:rsidR="00E06488" w:rsidRPr="00042A4C" w:rsidRDefault="004458D8" w:rsidP="004458D8">
      <w:pPr>
        <w:spacing w:line="276" w:lineRule="auto"/>
        <w:jc w:val="center"/>
      </w:pPr>
      <w:r w:rsidRPr="004458D8">
        <w:rPr>
          <w:rFonts w:eastAsia="Times New Roman"/>
          <w:color w:val="000000"/>
          <w:sz w:val="26"/>
          <w:szCs w:val="26"/>
        </w:rPr>
        <w:t>АКТУАРНЫЙ АНАЛИЗ ФАКТОРОВ - УСЛОВИЙ ПОВЫШЕНИЯ ПЕНСИОННОГО ВОЗРАСТА В ЦЕЛЯХ РЕАЛИЗАЦИИ СТРАТЕГИИ ДОЛГОСРОЧНОГО РАЗВИТИЯ ПЕНСИОННОЙ СИСТЕМЫ РОССИЙСКОЙ ФЕДЕРАЦИИ</w:t>
      </w:r>
      <w:r w:rsidR="00042A4C">
        <w:t>,</w:t>
      </w:r>
    </w:p>
    <w:p w:rsidR="00E06488" w:rsidRDefault="00E06488" w:rsidP="00E06488">
      <w:pPr>
        <w:spacing w:line="276" w:lineRule="auto"/>
        <w:jc w:val="center"/>
      </w:pPr>
      <w:r>
        <w:t xml:space="preserve">выполненной </w:t>
      </w:r>
      <w:r w:rsidR="00291A97">
        <w:t xml:space="preserve">по </w:t>
      </w:r>
      <w:r>
        <w:t>государственно</w:t>
      </w:r>
      <w:r w:rsidR="00291A97">
        <w:t>му</w:t>
      </w:r>
      <w:r>
        <w:t xml:space="preserve"> задани</w:t>
      </w:r>
      <w:r w:rsidR="00291A97">
        <w:t>ю</w:t>
      </w:r>
      <w:r>
        <w:t xml:space="preserve"> на 2017 год</w:t>
      </w:r>
    </w:p>
    <w:bookmarkEnd w:id="0"/>
    <w:p w:rsidR="0088520A" w:rsidRDefault="0088520A" w:rsidP="00E06488">
      <w:pPr>
        <w:spacing w:line="276" w:lineRule="auto"/>
        <w:jc w:val="center"/>
      </w:pPr>
    </w:p>
    <w:p w:rsidR="007A7BF5" w:rsidRDefault="007A7BF5" w:rsidP="0080406C">
      <w:pPr>
        <w:spacing w:line="276" w:lineRule="auto"/>
        <w:jc w:val="center"/>
      </w:pPr>
    </w:p>
    <w:p w:rsidR="007A7BF5" w:rsidRDefault="007A7BF5" w:rsidP="007A7BF5">
      <w:pPr>
        <w:spacing w:line="276" w:lineRule="auto"/>
        <w:sectPr w:rsidR="007A7B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00E" w:rsidRDefault="002A06AF" w:rsidP="008531B9">
      <w:pPr>
        <w:spacing w:line="276" w:lineRule="auto"/>
        <w:ind w:firstLine="426"/>
        <w:jc w:val="left"/>
      </w:pPr>
      <w:r>
        <w:rPr>
          <w:noProof/>
        </w:rPr>
        <w:drawing>
          <wp:inline distT="0" distB="0" distL="0" distR="0">
            <wp:extent cx="1352550" cy="1803400"/>
            <wp:effectExtent l="0" t="0" r="0" b="6350"/>
            <wp:docPr id="1" name="Рисунок 1" descr="C:\Users\malnator\AppData\Local\Microsoft\Windows\INetCache\Content.Word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nator\AppData\Local\Microsoft\Windows\INetCache\Content.Word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18" cy="181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3B5">
        <w:tab/>
      </w:r>
      <w:r w:rsidR="00A9000E">
        <w:tab/>
      </w:r>
      <w:r w:rsidR="008531B9" w:rsidRPr="00964ECD">
        <w:rPr>
          <w:noProof/>
        </w:rPr>
        <w:drawing>
          <wp:inline distT="0" distB="0" distL="0" distR="0" wp14:anchorId="17ABECA8" wp14:editId="39A2A31A">
            <wp:extent cx="1339525" cy="17995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51" cy="18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00E">
        <w:tab/>
      </w:r>
      <w:r w:rsidR="00A9000E">
        <w:tab/>
      </w:r>
      <w:r w:rsidR="008531B9" w:rsidRPr="00964ECD">
        <w:rPr>
          <w:noProof/>
        </w:rPr>
        <w:drawing>
          <wp:inline distT="0" distB="0" distL="0" distR="0" wp14:anchorId="058CDB76" wp14:editId="07CC01FB">
            <wp:extent cx="1351945" cy="17616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132" cy="17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0A" w:rsidRPr="000B00C9" w:rsidRDefault="0088520A" w:rsidP="007A7BF5">
      <w:pPr>
        <w:spacing w:line="276" w:lineRule="auto"/>
      </w:pPr>
    </w:p>
    <w:p w:rsidR="0088520A" w:rsidRDefault="0088520A" w:rsidP="007A7BF5">
      <w:pPr>
        <w:spacing w:line="276" w:lineRule="auto"/>
        <w:sectPr w:rsidR="0088520A" w:rsidSect="00A9000E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:rsidR="00A9000E" w:rsidRPr="0088520A" w:rsidRDefault="00A9000E" w:rsidP="00A9000E">
      <w:pPr>
        <w:spacing w:line="276" w:lineRule="auto"/>
      </w:pPr>
      <w:r w:rsidRPr="0088520A">
        <w:t>Сведения об автор</w:t>
      </w:r>
      <w:r>
        <w:t>ах</w:t>
      </w:r>
      <w:r w:rsidRPr="0088520A">
        <w:t>:</w:t>
      </w:r>
    </w:p>
    <w:p w:rsidR="00A9000E" w:rsidRDefault="00976958" w:rsidP="00A9000E">
      <w:pPr>
        <w:spacing w:line="276" w:lineRule="auto"/>
      </w:pPr>
      <w:r>
        <w:t>Аль-Натор Мухаммед С</w:t>
      </w:r>
      <w:r w:rsidR="00F7011F">
        <w:t>убхи</w:t>
      </w:r>
      <w:r w:rsidR="00A9000E">
        <w:t xml:space="preserve">, </w:t>
      </w:r>
      <w:r w:rsidR="00F7011F">
        <w:t>кандидат физико-математических</w:t>
      </w:r>
      <w:r w:rsidR="00A9000E" w:rsidRPr="00A9000E">
        <w:t xml:space="preserve"> наук, </w:t>
      </w:r>
      <w:r w:rsidR="00F7011F">
        <w:t>доцент</w:t>
      </w:r>
      <w:r w:rsidR="002F5380" w:rsidRPr="002F5380">
        <w:t>,</w:t>
      </w:r>
      <w:r w:rsidR="002F5380">
        <w:t xml:space="preserve"> доцент</w:t>
      </w:r>
      <w:r w:rsidR="002F5380">
        <w:rPr>
          <w:color w:val="000000"/>
        </w:rPr>
        <w:t xml:space="preserve"> Д</w:t>
      </w:r>
      <w:r w:rsidR="00A9000E" w:rsidRPr="000B00C9">
        <w:rPr>
          <w:color w:val="000000"/>
        </w:rPr>
        <w:t xml:space="preserve">епартамента </w:t>
      </w:r>
      <w:r w:rsidR="008A0E72" w:rsidRPr="008A0E72">
        <w:rPr>
          <w:color w:val="000000"/>
        </w:rPr>
        <w:t>анализа данных, принятия решений и финансовых технологий</w:t>
      </w:r>
      <w:r w:rsidR="00A9000E" w:rsidRPr="000B00C9">
        <w:t>.</w:t>
      </w:r>
      <w:r w:rsidR="00A9000E">
        <w:t xml:space="preserve"> Стаж работы в Финансовом университете </w:t>
      </w:r>
      <w:r w:rsidR="00E76F6D" w:rsidRPr="002F5380">
        <w:t>10</w:t>
      </w:r>
      <w:r w:rsidR="00A9000E">
        <w:t xml:space="preserve"> лет.</w:t>
      </w:r>
    </w:p>
    <w:p w:rsidR="00A9000E" w:rsidRPr="00D91691" w:rsidRDefault="00A9000E" w:rsidP="00A9000E">
      <w:pPr>
        <w:spacing w:line="276" w:lineRule="auto"/>
        <w:rPr>
          <w:sz w:val="18"/>
          <w:szCs w:val="18"/>
        </w:rPr>
      </w:pPr>
    </w:p>
    <w:p w:rsidR="00A9000E" w:rsidRDefault="002F5380" w:rsidP="002F5380">
      <w:pPr>
        <w:spacing w:line="276" w:lineRule="auto"/>
      </w:pPr>
      <w:r>
        <w:t>Соловьев Аркадий Константинович</w:t>
      </w:r>
      <w:r w:rsidR="00A9000E">
        <w:t xml:space="preserve">, доктор экономических наук, </w:t>
      </w:r>
      <w:r>
        <w:t>профессор</w:t>
      </w:r>
      <w:r w:rsidR="00A9000E">
        <w:t>, профессор</w:t>
      </w:r>
      <w:r>
        <w:t xml:space="preserve"> Д</w:t>
      </w:r>
      <w:r w:rsidR="00A9000E" w:rsidRPr="00A9000E">
        <w:t xml:space="preserve">епартамента </w:t>
      </w:r>
      <w:r>
        <w:t>общественных финансов, заслуженный экономист РФ, начальник Департамента актуарных расчетов и стратегического планирования ПФР</w:t>
      </w:r>
      <w:r w:rsidR="00A9000E">
        <w:t xml:space="preserve">. Стаж работы в Финансовом университете </w:t>
      </w:r>
      <w:r w:rsidR="00F90546">
        <w:t>10</w:t>
      </w:r>
      <w:r w:rsidR="00A9000E">
        <w:t xml:space="preserve"> лет.</w:t>
      </w:r>
    </w:p>
    <w:p w:rsidR="00A9000E" w:rsidRPr="00D91691" w:rsidRDefault="00A9000E" w:rsidP="00A9000E">
      <w:pPr>
        <w:spacing w:line="276" w:lineRule="auto"/>
        <w:rPr>
          <w:sz w:val="12"/>
          <w:szCs w:val="12"/>
        </w:rPr>
      </w:pPr>
    </w:p>
    <w:p w:rsidR="00B8528D" w:rsidRDefault="00F90546" w:rsidP="00B8528D">
      <w:pPr>
        <w:spacing w:line="276" w:lineRule="auto"/>
      </w:pPr>
      <w:r>
        <w:t>Донцова Светлана Александровна</w:t>
      </w:r>
      <w:r w:rsidR="00B8528D">
        <w:t xml:space="preserve">, </w:t>
      </w:r>
      <w:r w:rsidR="00970E0F">
        <w:t>з</w:t>
      </w:r>
      <w:r w:rsidRPr="00F90546">
        <w:t>аместитель начальника Департамента актуарных расчетов и стратегического планирования</w:t>
      </w:r>
      <w:r w:rsidR="007D4015">
        <w:t xml:space="preserve"> ПФР</w:t>
      </w:r>
      <w:r w:rsidR="00B8528D" w:rsidRPr="00B8528D">
        <w:t>.</w:t>
      </w:r>
    </w:p>
    <w:p w:rsidR="00B8528D" w:rsidRPr="00D91691" w:rsidRDefault="00B8528D" w:rsidP="00A9000E">
      <w:pPr>
        <w:spacing w:line="276" w:lineRule="auto"/>
        <w:rPr>
          <w:sz w:val="18"/>
          <w:szCs w:val="18"/>
        </w:rPr>
      </w:pPr>
    </w:p>
    <w:p w:rsidR="00E06488" w:rsidRDefault="00A9000E" w:rsidP="00A9000E">
      <w:pPr>
        <w:spacing w:line="276" w:lineRule="auto"/>
        <w:rPr>
          <w:color w:val="000000"/>
        </w:rPr>
      </w:pPr>
      <w:r>
        <w:t>Контакты:</w:t>
      </w:r>
      <w:r w:rsidR="00B8528D">
        <w:t xml:space="preserve"> </w:t>
      </w:r>
      <w:r w:rsidR="00E76F6D" w:rsidRPr="00E76F6D">
        <w:rPr>
          <w:color w:val="000000"/>
        </w:rPr>
        <w:t>+7(495)249-5222</w:t>
      </w:r>
      <w:r w:rsidR="00B8528D">
        <w:rPr>
          <w:rStyle w:val="wmi-callto"/>
          <w:color w:val="000000"/>
        </w:rPr>
        <w:t xml:space="preserve">, </w:t>
      </w:r>
      <w:r w:rsidR="00B8528D" w:rsidRPr="00B8528D">
        <w:rPr>
          <w:color w:val="000000"/>
        </w:rPr>
        <w:t>m</w:t>
      </w:r>
      <w:r w:rsidR="00E76F6D">
        <w:rPr>
          <w:color w:val="000000"/>
          <w:lang w:val="en-US"/>
        </w:rPr>
        <w:t>sal</w:t>
      </w:r>
      <w:r w:rsidR="00E76F6D" w:rsidRPr="002F5380">
        <w:rPr>
          <w:color w:val="000000"/>
        </w:rPr>
        <w:t>-</w:t>
      </w:r>
      <w:r w:rsidR="00E76F6D">
        <w:rPr>
          <w:color w:val="000000"/>
          <w:lang w:val="en-US"/>
        </w:rPr>
        <w:t>nator</w:t>
      </w:r>
      <w:r w:rsidR="00B8528D" w:rsidRPr="00B8528D">
        <w:rPr>
          <w:color w:val="000000"/>
        </w:rPr>
        <w:t xml:space="preserve">@fa.ru </w:t>
      </w:r>
    </w:p>
    <w:p w:rsidR="005D1F3E" w:rsidRPr="00B1046D" w:rsidRDefault="00B1046D" w:rsidP="005D1F3E">
      <w:pPr>
        <w:spacing w:line="240" w:lineRule="auto"/>
        <w:jc w:val="center"/>
      </w:pPr>
      <w:r>
        <w:t>РЕКЛАМНО-ТЕХНИЧЕСКОЕ ОПИСАНИЕ</w:t>
      </w:r>
    </w:p>
    <w:p w:rsidR="00E66F23" w:rsidRPr="003D2C3B" w:rsidRDefault="00E66F23" w:rsidP="00E66F23">
      <w:pPr>
        <w:rPr>
          <w:sz w:val="22"/>
          <w:szCs w:val="22"/>
        </w:rPr>
      </w:pPr>
    </w:p>
    <w:p w:rsidR="000C7534" w:rsidRDefault="00A15DB0" w:rsidP="00B1251F">
      <w:pPr>
        <w:spacing w:line="348" w:lineRule="auto"/>
        <w:ind w:firstLine="709"/>
      </w:pPr>
      <w:r>
        <w:t xml:space="preserve">В основе разработанной </w:t>
      </w:r>
      <w:r w:rsidR="00B1251F">
        <w:t>схемы</w:t>
      </w:r>
      <w:r w:rsidR="00B8528D">
        <w:t xml:space="preserve"> и рекомендаций</w:t>
      </w:r>
      <w:r w:rsidR="008A7C3D">
        <w:t xml:space="preserve"> </w:t>
      </w:r>
      <w:r>
        <w:t xml:space="preserve">лежит </w:t>
      </w:r>
      <w:r w:rsidR="009A4B4E">
        <w:t>глубокий</w:t>
      </w:r>
      <w:r w:rsidR="00B1251F" w:rsidRPr="00B1251F">
        <w:rPr>
          <w:bCs w:val="0"/>
        </w:rPr>
        <w:t xml:space="preserve"> </w:t>
      </w:r>
      <w:r w:rsidR="00B1251F">
        <w:rPr>
          <w:bCs w:val="0"/>
        </w:rPr>
        <w:t>и</w:t>
      </w:r>
      <w:r w:rsidR="00B1251F" w:rsidRPr="00B1251F">
        <w:rPr>
          <w:bCs w:val="0"/>
        </w:rPr>
        <w:t xml:space="preserve"> комплексный анализ социально-экономических, демографических и макроэкономических факторов, определяющих пенсионный возраст в целях реализации Стратегии долгосрочного развития пенсионной системы Российской Федерации</w:t>
      </w:r>
      <w:r w:rsidR="008E0969">
        <w:rPr>
          <w:bCs w:val="0"/>
        </w:rPr>
        <w:t xml:space="preserve">. </w:t>
      </w:r>
    </w:p>
    <w:p w:rsidR="00E62F0A" w:rsidRDefault="00E62F0A" w:rsidP="00E62F0A">
      <w:pPr>
        <w:spacing w:line="348" w:lineRule="auto"/>
        <w:ind w:firstLine="709"/>
      </w:pPr>
      <w:r w:rsidRPr="00E62F0A">
        <w:t>Актуарными расчетами</w:t>
      </w:r>
      <w:r>
        <w:t xml:space="preserve"> (на основе разработанных авторами математических моделей)</w:t>
      </w:r>
      <w:r w:rsidRPr="00E62F0A">
        <w:t xml:space="preserve"> показано, что для достижения коэффициента замещения при средней заработной плате и нормативном стаже пенсионный возраст необходимо увеличить до 63 лет, для доведения среднего размера пенсии по старости до 2,5 ПМП</w:t>
      </w:r>
      <w:r w:rsidR="003D645D">
        <w:t xml:space="preserve"> (прожиточный </w:t>
      </w:r>
      <w:r w:rsidR="0043390A">
        <w:t>минимум</w:t>
      </w:r>
      <w:r w:rsidR="003D645D">
        <w:t xml:space="preserve"> </w:t>
      </w:r>
      <w:r w:rsidR="0043390A">
        <w:t>пенсионеров</w:t>
      </w:r>
      <w:r w:rsidR="003D645D">
        <w:t>)</w:t>
      </w:r>
      <w:r w:rsidRPr="00E62F0A">
        <w:t xml:space="preserve"> даже при условии роста рынка труда – до 68 лет, а до 3</w:t>
      </w:r>
      <w:r w:rsidR="00643C24">
        <w:t xml:space="preserve"> </w:t>
      </w:r>
      <w:r w:rsidRPr="00E62F0A">
        <w:t>ПМП – до 72,6 лет, причем к 2030 г. переходный период процесса повышения возраста должен быть завершен, что невозможно в сложившихся и прогнозируемых демографических условиях развития страны.</w:t>
      </w:r>
    </w:p>
    <w:p w:rsidR="004376CE" w:rsidRPr="004376CE" w:rsidRDefault="000C7534" w:rsidP="004376CE">
      <w:pPr>
        <w:spacing w:line="348" w:lineRule="auto"/>
        <w:ind w:firstLine="709"/>
        <w:rPr>
          <w:bCs w:val="0"/>
          <w:lang w:eastAsia="en-US"/>
        </w:rPr>
      </w:pPr>
      <w:r w:rsidRPr="000C7534">
        <w:rPr>
          <w:bCs w:val="0"/>
          <w:lang w:eastAsia="en-US"/>
        </w:rPr>
        <w:t xml:space="preserve">Разработанная </w:t>
      </w:r>
      <w:r w:rsidR="008E0969">
        <w:rPr>
          <w:bCs w:val="0"/>
          <w:lang w:eastAsia="en-US"/>
        </w:rPr>
        <w:t>схема</w:t>
      </w:r>
      <w:r w:rsidR="004376CE">
        <w:rPr>
          <w:bCs w:val="0"/>
          <w:lang w:eastAsia="en-US"/>
        </w:rPr>
        <w:t xml:space="preserve"> повышения пенсионного возраста</w:t>
      </w:r>
      <w:r w:rsidR="00371356">
        <w:rPr>
          <w:bCs w:val="0"/>
          <w:lang w:eastAsia="en-US"/>
        </w:rPr>
        <w:t xml:space="preserve"> (см. табл.)</w:t>
      </w:r>
      <w:r w:rsidR="008E0969">
        <w:rPr>
          <w:bCs w:val="0"/>
          <w:lang w:eastAsia="en-US"/>
        </w:rPr>
        <w:t xml:space="preserve"> базируется </w:t>
      </w:r>
      <w:r w:rsidR="00E62F0A">
        <w:rPr>
          <w:bCs w:val="0"/>
          <w:lang w:eastAsia="en-US"/>
        </w:rPr>
        <w:t xml:space="preserve">на </w:t>
      </w:r>
      <w:r w:rsidR="004376CE" w:rsidRPr="004376CE">
        <w:rPr>
          <w:bCs w:val="0"/>
          <w:lang w:eastAsia="en-US"/>
        </w:rPr>
        <w:t>критери</w:t>
      </w:r>
      <w:r w:rsidR="00371356">
        <w:rPr>
          <w:bCs w:val="0"/>
          <w:lang w:eastAsia="en-US"/>
        </w:rPr>
        <w:t>ях</w:t>
      </w:r>
      <w:r w:rsidR="004376CE" w:rsidRPr="004376CE">
        <w:rPr>
          <w:bCs w:val="0"/>
          <w:lang w:eastAsia="en-US"/>
        </w:rPr>
        <w:t xml:space="preserve"> выбора предельного допустимого значения общеустановленного пенсионного возраста, учитывающи</w:t>
      </w:r>
      <w:r w:rsidR="00371356">
        <w:rPr>
          <w:bCs w:val="0"/>
          <w:lang w:eastAsia="en-US"/>
        </w:rPr>
        <w:t>х</w:t>
      </w:r>
      <w:r w:rsidR="004376CE" w:rsidRPr="004376CE">
        <w:rPr>
          <w:bCs w:val="0"/>
          <w:lang w:eastAsia="en-US"/>
        </w:rPr>
        <w:t xml:space="preserve"> охват системой обязательного пенсионного страхования застрахованных лиц и возможности реализации ими накопленных пенсионных прав</w:t>
      </w:r>
      <w:r w:rsidR="00371356">
        <w:rPr>
          <w:bCs w:val="0"/>
          <w:lang w:eastAsia="en-US"/>
        </w:rPr>
        <w:t>, и</w:t>
      </w:r>
      <w:r w:rsidR="005E1504" w:rsidRPr="005E1504">
        <w:rPr>
          <w:bCs w:val="0"/>
          <w:lang w:eastAsia="en-US"/>
        </w:rPr>
        <w:t xml:space="preserve"> сложивши</w:t>
      </w:r>
      <w:r w:rsidR="005E1504">
        <w:rPr>
          <w:bCs w:val="0"/>
          <w:lang w:eastAsia="en-US"/>
        </w:rPr>
        <w:t>е</w:t>
      </w:r>
      <w:r w:rsidR="005E1504" w:rsidRPr="005E1504">
        <w:rPr>
          <w:bCs w:val="0"/>
          <w:lang w:eastAsia="en-US"/>
        </w:rPr>
        <w:t>ся и прогнозируем</w:t>
      </w:r>
      <w:r w:rsidR="00F927A1">
        <w:rPr>
          <w:bCs w:val="0"/>
          <w:lang w:eastAsia="en-US"/>
        </w:rPr>
        <w:t>ы</w:t>
      </w:r>
      <w:r w:rsidR="005E1504">
        <w:rPr>
          <w:bCs w:val="0"/>
          <w:lang w:eastAsia="en-US"/>
        </w:rPr>
        <w:t>е</w:t>
      </w:r>
      <w:r w:rsidR="005E1504" w:rsidRPr="005E1504">
        <w:rPr>
          <w:bCs w:val="0"/>
          <w:lang w:eastAsia="en-US"/>
        </w:rPr>
        <w:t xml:space="preserve"> демографически</w:t>
      </w:r>
      <w:r w:rsidR="005E1504">
        <w:rPr>
          <w:bCs w:val="0"/>
          <w:lang w:eastAsia="en-US"/>
        </w:rPr>
        <w:t>е и макроэко</w:t>
      </w:r>
      <w:r w:rsidR="005E1504" w:rsidRPr="005E1504">
        <w:rPr>
          <w:bCs w:val="0"/>
          <w:lang w:eastAsia="en-US"/>
        </w:rPr>
        <w:t>номически</w:t>
      </w:r>
      <w:r w:rsidR="005E1504">
        <w:rPr>
          <w:bCs w:val="0"/>
          <w:lang w:eastAsia="en-US"/>
        </w:rPr>
        <w:t>е</w:t>
      </w:r>
      <w:r w:rsidR="005E1504" w:rsidRPr="005E1504">
        <w:rPr>
          <w:bCs w:val="0"/>
          <w:lang w:eastAsia="en-US"/>
        </w:rPr>
        <w:t xml:space="preserve"> условия</w:t>
      </w:r>
      <w:r w:rsidR="004376CE" w:rsidRPr="004376CE">
        <w:rPr>
          <w:bCs w:val="0"/>
          <w:lang w:eastAsia="en-US"/>
        </w:rPr>
        <w:t>:</w:t>
      </w:r>
    </w:p>
    <w:p w:rsidR="00E62F0A" w:rsidRPr="00E62F0A" w:rsidRDefault="0043390A" w:rsidP="00E62F0A">
      <w:pPr>
        <w:spacing w:line="348" w:lineRule="auto"/>
        <w:ind w:firstLine="709"/>
        <w:rPr>
          <w:bCs w:val="0"/>
          <w:lang w:eastAsia="en-US"/>
        </w:rPr>
      </w:pPr>
      <w:r>
        <w:rPr>
          <w:bCs w:val="0"/>
          <w:lang w:eastAsia="en-US"/>
        </w:rPr>
        <w:t xml:space="preserve">1) </w:t>
      </w:r>
      <w:r w:rsidR="00E62F0A" w:rsidRPr="00E62F0A">
        <w:rPr>
          <w:bCs w:val="0"/>
          <w:lang w:eastAsia="en-US"/>
        </w:rPr>
        <w:t>минимально допустимая вероятность дожить до нового пенсионного возраста - не менее 70% населения - сложившийся для населения России</w:t>
      </w:r>
      <w:r>
        <w:rPr>
          <w:bCs w:val="0"/>
          <w:lang w:eastAsia="en-US"/>
        </w:rPr>
        <w:t xml:space="preserve"> уровень по состоянию на 2016 г;</w:t>
      </w:r>
    </w:p>
    <w:p w:rsidR="00E62F0A" w:rsidRDefault="0043390A" w:rsidP="00C56F1B">
      <w:pPr>
        <w:spacing w:line="348" w:lineRule="auto"/>
        <w:ind w:firstLine="709"/>
        <w:rPr>
          <w:bCs w:val="0"/>
          <w:lang w:eastAsia="en-US"/>
        </w:rPr>
      </w:pPr>
      <w:r>
        <w:rPr>
          <w:bCs w:val="0"/>
          <w:lang w:eastAsia="en-US"/>
        </w:rPr>
        <w:t xml:space="preserve">2) </w:t>
      </w:r>
      <w:r w:rsidR="00E62F0A" w:rsidRPr="00E62F0A">
        <w:rPr>
          <w:bCs w:val="0"/>
          <w:lang w:eastAsia="en-US"/>
        </w:rPr>
        <w:t>ожидаемая продолжительность жизни после достижения пенсионного возраста - 15 лет (в качестве общеустановленного пенсионного возраста в системе обязательного пенсионного страхования Российской Федерации предлагается использовать применяемый ВОЗ</w:t>
      </w:r>
      <w:r w:rsidR="00C56F1B">
        <w:rPr>
          <w:bCs w:val="0"/>
          <w:lang w:eastAsia="en-US"/>
        </w:rPr>
        <w:t xml:space="preserve"> (</w:t>
      </w:r>
      <w:r w:rsidR="00C56F1B" w:rsidRPr="00C56F1B">
        <w:rPr>
          <w:bCs w:val="0"/>
          <w:lang w:eastAsia="en-US"/>
        </w:rPr>
        <w:t>В</w:t>
      </w:r>
      <w:r w:rsidR="00C56F1B">
        <w:rPr>
          <w:bCs w:val="0"/>
          <w:lang w:eastAsia="en-US"/>
        </w:rPr>
        <w:t>семирная организация здравоохра</w:t>
      </w:r>
      <w:r w:rsidR="00C56F1B" w:rsidRPr="00C56F1B">
        <w:rPr>
          <w:bCs w:val="0"/>
          <w:lang w:eastAsia="en-US"/>
        </w:rPr>
        <w:t>нения</w:t>
      </w:r>
      <w:r w:rsidR="00C56F1B">
        <w:rPr>
          <w:bCs w:val="0"/>
          <w:lang w:eastAsia="en-US"/>
        </w:rPr>
        <w:t>)</w:t>
      </w:r>
      <w:r w:rsidR="00E62F0A" w:rsidRPr="00E62F0A">
        <w:rPr>
          <w:bCs w:val="0"/>
          <w:lang w:eastAsia="en-US"/>
        </w:rPr>
        <w:t xml:space="preserve"> проспективный возраст, предусматривающий,</w:t>
      </w:r>
      <w:r w:rsidR="00C56F1B">
        <w:rPr>
          <w:bCs w:val="0"/>
          <w:lang w:eastAsia="en-US"/>
        </w:rPr>
        <w:t xml:space="preserve"> что лица, дожившие до него</w:t>
      </w:r>
      <w:r w:rsidR="00E62F0A" w:rsidRPr="00E62F0A">
        <w:rPr>
          <w:bCs w:val="0"/>
          <w:lang w:eastAsia="en-US"/>
        </w:rPr>
        <w:t>, проживут еще 15 лет). Учитывая значительно худшие демографические характеристики мужчин, пенсионный возраст предложено устанавливать на основе проспективного возраста мужчин, а не всего населения.</w:t>
      </w:r>
    </w:p>
    <w:p w:rsidR="00F80CCE" w:rsidRPr="003D2C3B" w:rsidRDefault="00F80CCE" w:rsidP="00F80CCE">
      <w:pPr>
        <w:spacing w:line="348" w:lineRule="auto"/>
        <w:ind w:firstLine="709"/>
        <w:jc w:val="center"/>
        <w:rPr>
          <w:b/>
          <w:sz w:val="26"/>
          <w:szCs w:val="26"/>
          <w:lang w:eastAsia="en-US"/>
        </w:rPr>
      </w:pPr>
      <w:r w:rsidRPr="003D2C3B">
        <w:rPr>
          <w:b/>
          <w:sz w:val="26"/>
          <w:szCs w:val="26"/>
          <w:lang w:eastAsia="en-US"/>
        </w:rPr>
        <w:t>Компромиссная схема повышения пенсионного возраста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3222"/>
        <w:gridCol w:w="2658"/>
      </w:tblGrid>
      <w:tr w:rsidR="00F80CCE" w:rsidRPr="00156D03" w:rsidTr="003D2C3B">
        <w:trPr>
          <w:trHeight w:val="319"/>
        </w:trPr>
        <w:tc>
          <w:tcPr>
            <w:tcW w:w="3357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22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Мужчины</w:t>
            </w:r>
          </w:p>
        </w:tc>
        <w:tc>
          <w:tcPr>
            <w:tcW w:w="2658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Женщины</w:t>
            </w:r>
          </w:p>
        </w:tc>
      </w:tr>
      <w:tr w:rsidR="00F80CCE" w:rsidRPr="00873868" w:rsidTr="00091112">
        <w:trPr>
          <w:trHeight w:val="409"/>
        </w:trPr>
        <w:tc>
          <w:tcPr>
            <w:tcW w:w="3357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Год начала повышения</w:t>
            </w:r>
          </w:p>
        </w:tc>
        <w:tc>
          <w:tcPr>
            <w:tcW w:w="3222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2658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2019</w:t>
            </w:r>
          </w:p>
        </w:tc>
      </w:tr>
      <w:tr w:rsidR="00F80CCE" w:rsidRPr="00873868" w:rsidTr="00091112">
        <w:tc>
          <w:tcPr>
            <w:tcW w:w="3357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Возраст, с которого повышается, лет</w:t>
            </w:r>
          </w:p>
        </w:tc>
        <w:tc>
          <w:tcPr>
            <w:tcW w:w="3222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658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</w:tr>
      <w:tr w:rsidR="00F80CCE" w:rsidRPr="00873868" w:rsidTr="00091112">
        <w:tc>
          <w:tcPr>
            <w:tcW w:w="3357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Возраст, до которого повышается (предельный по мужчинам), лет</w:t>
            </w:r>
          </w:p>
        </w:tc>
        <w:tc>
          <w:tcPr>
            <w:tcW w:w="3222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658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</w:tr>
      <w:tr w:rsidR="00F80CCE" w:rsidRPr="00873868" w:rsidTr="00091112">
        <w:trPr>
          <w:trHeight w:val="381"/>
        </w:trPr>
        <w:tc>
          <w:tcPr>
            <w:tcW w:w="3357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Вариант повышения</w:t>
            </w:r>
          </w:p>
        </w:tc>
        <w:tc>
          <w:tcPr>
            <w:tcW w:w="3222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По году назначения</w:t>
            </w:r>
          </w:p>
        </w:tc>
        <w:tc>
          <w:tcPr>
            <w:tcW w:w="2658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По году назначения</w:t>
            </w:r>
          </w:p>
        </w:tc>
      </w:tr>
      <w:tr w:rsidR="00F80CCE" w:rsidRPr="00873868" w:rsidTr="00091112">
        <w:tc>
          <w:tcPr>
            <w:tcW w:w="3357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Шаг повышения</w:t>
            </w:r>
          </w:p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(максимальный для женщин)</w:t>
            </w:r>
          </w:p>
        </w:tc>
        <w:tc>
          <w:tcPr>
            <w:tcW w:w="3222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3 месяца за год</w:t>
            </w:r>
          </w:p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(для одновременного завершения с женщинами)</w:t>
            </w:r>
          </w:p>
        </w:tc>
        <w:tc>
          <w:tcPr>
            <w:tcW w:w="2658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6 месяцев за год</w:t>
            </w:r>
          </w:p>
        </w:tc>
      </w:tr>
      <w:tr w:rsidR="00F80CCE" w:rsidRPr="00873868" w:rsidTr="00091112">
        <w:tc>
          <w:tcPr>
            <w:tcW w:w="3357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Год окончания</w:t>
            </w:r>
          </w:p>
        </w:tc>
        <w:tc>
          <w:tcPr>
            <w:tcW w:w="3222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2038</w:t>
            </w:r>
          </w:p>
        </w:tc>
        <w:tc>
          <w:tcPr>
            <w:tcW w:w="2658" w:type="dxa"/>
            <w:vAlign w:val="center"/>
          </w:tcPr>
          <w:p w:rsidR="00F80CCE" w:rsidRPr="00F80CCE" w:rsidRDefault="00F80CCE" w:rsidP="003D2C3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CCE">
              <w:rPr>
                <w:rFonts w:ascii="Times New Roman" w:hAnsi="Times New Roman"/>
                <w:color w:val="000000"/>
                <w:sz w:val="26"/>
                <w:szCs w:val="26"/>
              </w:rPr>
              <w:t>2038</w:t>
            </w:r>
          </w:p>
        </w:tc>
      </w:tr>
    </w:tbl>
    <w:p w:rsidR="00F80CCE" w:rsidRPr="003D2C3B" w:rsidRDefault="00F80CCE" w:rsidP="00E62F0A">
      <w:pPr>
        <w:spacing w:line="348" w:lineRule="auto"/>
        <w:ind w:firstLine="709"/>
        <w:rPr>
          <w:bCs w:val="0"/>
          <w:sz w:val="14"/>
          <w:szCs w:val="14"/>
          <w:lang w:eastAsia="en-US"/>
        </w:rPr>
      </w:pPr>
    </w:p>
    <w:p w:rsidR="00F927A1" w:rsidRPr="00643C24" w:rsidRDefault="00F927A1" w:rsidP="00643C24">
      <w:pPr>
        <w:spacing w:line="348" w:lineRule="auto"/>
        <w:ind w:firstLine="709"/>
        <w:rPr>
          <w:bCs w:val="0"/>
          <w:lang w:eastAsia="en-US"/>
        </w:rPr>
      </w:pPr>
      <w:r w:rsidRPr="00643C24">
        <w:rPr>
          <w:bCs w:val="0"/>
          <w:lang w:eastAsia="en-US"/>
        </w:rPr>
        <w:t>На основе актуарных расчетов на период до 2050 г. оценен эффект от реализации компромиссной схемы по степени приближения к значениям целевых ориентиров Стратегии по соотношению с ПМП и коэффициенту замещения, а также по уровню зависимости бюджета ПФР от трансфертов федерального бюджета и произведено его сравнение с развитием распределительного компонента системы обязательного пенсионного страхования по действующему законодательству</w:t>
      </w:r>
      <w:r w:rsidR="00643C24" w:rsidRPr="00643C24">
        <w:rPr>
          <w:bCs w:val="0"/>
          <w:lang w:eastAsia="en-US"/>
        </w:rPr>
        <w:t>.</w:t>
      </w:r>
      <w:r w:rsidRPr="00643C24">
        <w:rPr>
          <w:bCs w:val="0"/>
          <w:lang w:eastAsia="en-US"/>
        </w:rPr>
        <w:t xml:space="preserve"> </w:t>
      </w:r>
    </w:p>
    <w:p w:rsidR="00F927A1" w:rsidRPr="00643C24" w:rsidRDefault="00F80CCE" w:rsidP="00643C24">
      <w:pPr>
        <w:spacing w:line="348" w:lineRule="auto"/>
        <w:ind w:firstLine="709"/>
        <w:rPr>
          <w:bCs w:val="0"/>
          <w:lang w:eastAsia="en-US"/>
        </w:rPr>
      </w:pPr>
      <w:r>
        <w:rPr>
          <w:bCs w:val="0"/>
          <w:lang w:eastAsia="en-US"/>
        </w:rPr>
        <w:t xml:space="preserve">Разработаны также </w:t>
      </w:r>
      <w:r w:rsidR="00F927A1" w:rsidRPr="00643C24">
        <w:rPr>
          <w:bCs w:val="0"/>
          <w:lang w:eastAsia="en-US"/>
        </w:rPr>
        <w:t>предложения по внесению изменений в соответствующие нормативные акты для практического внедрения</w:t>
      </w:r>
      <w:r w:rsidR="00643C24" w:rsidRPr="00643C24">
        <w:rPr>
          <w:bCs w:val="0"/>
          <w:lang w:eastAsia="en-US"/>
        </w:rPr>
        <w:t xml:space="preserve"> компромиссной пенсионной схемы.</w:t>
      </w:r>
    </w:p>
    <w:p w:rsidR="005E1504" w:rsidRPr="00E62F0A" w:rsidRDefault="00643C24" w:rsidP="00E62F0A">
      <w:pPr>
        <w:spacing w:line="348" w:lineRule="auto"/>
        <w:ind w:firstLine="709"/>
        <w:rPr>
          <w:bCs w:val="0"/>
          <w:lang w:eastAsia="en-US"/>
        </w:rPr>
      </w:pPr>
      <w:r w:rsidRPr="00643C24">
        <w:rPr>
          <w:bCs w:val="0"/>
          <w:lang w:eastAsia="en-US"/>
        </w:rPr>
        <w:t>Предложенн</w:t>
      </w:r>
      <w:r w:rsidR="00C56F1B">
        <w:rPr>
          <w:bCs w:val="0"/>
          <w:lang w:eastAsia="en-US"/>
        </w:rPr>
        <w:t>ая</w:t>
      </w:r>
      <w:r w:rsidRPr="00643C24">
        <w:rPr>
          <w:bCs w:val="0"/>
          <w:lang w:eastAsia="en-US"/>
        </w:rPr>
        <w:t xml:space="preserve"> компромиссная схема повышения пенсионного возраста и необходимые для ее внедрения конкретные предложения по внесению изменений в действующее пенсионное законодательство могут быть использованы федеральными органами исполнительной и законодательной власти при совершенствовании государственной политики в сфере пенсионного обеспечения, в том числе в рамках реализации Стратегии, направленной на повышение финансовой устойчивости ПФР и уровня жизни пенсионеров, в частности, путем повышения общеустановленного пенсионного возраста.</w:t>
      </w:r>
    </w:p>
    <w:sectPr w:rsidR="005E1504" w:rsidRPr="00E62F0A" w:rsidSect="007A7B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CD" w:rsidRDefault="00F158CD" w:rsidP="00A53B86">
      <w:pPr>
        <w:spacing w:line="240" w:lineRule="auto"/>
      </w:pPr>
      <w:r>
        <w:separator/>
      </w:r>
    </w:p>
  </w:endnote>
  <w:endnote w:type="continuationSeparator" w:id="0">
    <w:p w:rsidR="00F158CD" w:rsidRDefault="00F158CD" w:rsidP="00A53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CD" w:rsidRDefault="00F158CD" w:rsidP="00A53B86">
      <w:pPr>
        <w:spacing w:line="240" w:lineRule="auto"/>
      </w:pPr>
      <w:r>
        <w:separator/>
      </w:r>
    </w:p>
  </w:footnote>
  <w:footnote w:type="continuationSeparator" w:id="0">
    <w:p w:rsidR="00F158CD" w:rsidRDefault="00F158CD" w:rsidP="00A53B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281"/>
    <w:multiLevelType w:val="hybridMultilevel"/>
    <w:tmpl w:val="25907AE2"/>
    <w:lvl w:ilvl="0" w:tplc="85A46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CE5119"/>
    <w:multiLevelType w:val="hybridMultilevel"/>
    <w:tmpl w:val="0522295A"/>
    <w:lvl w:ilvl="0" w:tplc="E8780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88"/>
    <w:rsid w:val="00012B19"/>
    <w:rsid w:val="00023739"/>
    <w:rsid w:val="00042A4C"/>
    <w:rsid w:val="00047B26"/>
    <w:rsid w:val="000B00C9"/>
    <w:rsid w:val="000C1251"/>
    <w:rsid w:val="000C7534"/>
    <w:rsid w:val="000E180B"/>
    <w:rsid w:val="000F7C38"/>
    <w:rsid w:val="0010074D"/>
    <w:rsid w:val="00113E88"/>
    <w:rsid w:val="00170CC2"/>
    <w:rsid w:val="00172BE8"/>
    <w:rsid w:val="001A68D7"/>
    <w:rsid w:val="001E1972"/>
    <w:rsid w:val="001F317E"/>
    <w:rsid w:val="00202ACC"/>
    <w:rsid w:val="002053F7"/>
    <w:rsid w:val="002362EE"/>
    <w:rsid w:val="00284D17"/>
    <w:rsid w:val="00291A97"/>
    <w:rsid w:val="0029483D"/>
    <w:rsid w:val="002A06AF"/>
    <w:rsid w:val="002E5018"/>
    <w:rsid w:val="002F5380"/>
    <w:rsid w:val="0030539C"/>
    <w:rsid w:val="003311C2"/>
    <w:rsid w:val="003350E9"/>
    <w:rsid w:val="00371356"/>
    <w:rsid w:val="003816E9"/>
    <w:rsid w:val="003D2C3B"/>
    <w:rsid w:val="003D645D"/>
    <w:rsid w:val="003E5812"/>
    <w:rsid w:val="003F3512"/>
    <w:rsid w:val="003F435C"/>
    <w:rsid w:val="0043390A"/>
    <w:rsid w:val="004376CE"/>
    <w:rsid w:val="00445638"/>
    <w:rsid w:val="004458D8"/>
    <w:rsid w:val="00452C33"/>
    <w:rsid w:val="00465AB8"/>
    <w:rsid w:val="004858ED"/>
    <w:rsid w:val="00494A6D"/>
    <w:rsid w:val="004C4601"/>
    <w:rsid w:val="004E61B6"/>
    <w:rsid w:val="004F4BB5"/>
    <w:rsid w:val="0051317A"/>
    <w:rsid w:val="0059292F"/>
    <w:rsid w:val="005C7AEC"/>
    <w:rsid w:val="005D1F3E"/>
    <w:rsid w:val="005E1504"/>
    <w:rsid w:val="005E1D74"/>
    <w:rsid w:val="005E53B5"/>
    <w:rsid w:val="005E62C8"/>
    <w:rsid w:val="005F3D24"/>
    <w:rsid w:val="00643C24"/>
    <w:rsid w:val="006777C8"/>
    <w:rsid w:val="006813F7"/>
    <w:rsid w:val="00696DA5"/>
    <w:rsid w:val="006A4049"/>
    <w:rsid w:val="006C1466"/>
    <w:rsid w:val="006F5F1F"/>
    <w:rsid w:val="006F67DE"/>
    <w:rsid w:val="0070187F"/>
    <w:rsid w:val="0071121E"/>
    <w:rsid w:val="00744020"/>
    <w:rsid w:val="00744309"/>
    <w:rsid w:val="007631BC"/>
    <w:rsid w:val="00785632"/>
    <w:rsid w:val="007A7BF5"/>
    <w:rsid w:val="007C220C"/>
    <w:rsid w:val="007D4015"/>
    <w:rsid w:val="007E697A"/>
    <w:rsid w:val="007F45B0"/>
    <w:rsid w:val="0080406C"/>
    <w:rsid w:val="00820BEE"/>
    <w:rsid w:val="00833088"/>
    <w:rsid w:val="008531B9"/>
    <w:rsid w:val="0087129C"/>
    <w:rsid w:val="0088520A"/>
    <w:rsid w:val="008A0E72"/>
    <w:rsid w:val="008A7C3D"/>
    <w:rsid w:val="008D02E6"/>
    <w:rsid w:val="008D1853"/>
    <w:rsid w:val="008E04B4"/>
    <w:rsid w:val="008E0969"/>
    <w:rsid w:val="009176C5"/>
    <w:rsid w:val="00935196"/>
    <w:rsid w:val="00954DE7"/>
    <w:rsid w:val="00964ECD"/>
    <w:rsid w:val="00970E0F"/>
    <w:rsid w:val="00976958"/>
    <w:rsid w:val="009A4B4E"/>
    <w:rsid w:val="009E4C7E"/>
    <w:rsid w:val="00A15DB0"/>
    <w:rsid w:val="00A53B86"/>
    <w:rsid w:val="00A7479F"/>
    <w:rsid w:val="00A74FE8"/>
    <w:rsid w:val="00A9000E"/>
    <w:rsid w:val="00AA5E9C"/>
    <w:rsid w:val="00AC4254"/>
    <w:rsid w:val="00AC5AAE"/>
    <w:rsid w:val="00B1046D"/>
    <w:rsid w:val="00B1251F"/>
    <w:rsid w:val="00B15589"/>
    <w:rsid w:val="00B17C95"/>
    <w:rsid w:val="00B44760"/>
    <w:rsid w:val="00B47586"/>
    <w:rsid w:val="00B47C70"/>
    <w:rsid w:val="00B8528D"/>
    <w:rsid w:val="00BA105C"/>
    <w:rsid w:val="00C04627"/>
    <w:rsid w:val="00C05609"/>
    <w:rsid w:val="00C0603C"/>
    <w:rsid w:val="00C06AE7"/>
    <w:rsid w:val="00C13CDD"/>
    <w:rsid w:val="00C20A52"/>
    <w:rsid w:val="00C27CE9"/>
    <w:rsid w:val="00C56F1B"/>
    <w:rsid w:val="00C705B3"/>
    <w:rsid w:val="00C871C6"/>
    <w:rsid w:val="00CB507C"/>
    <w:rsid w:val="00CB5774"/>
    <w:rsid w:val="00D011D5"/>
    <w:rsid w:val="00D41210"/>
    <w:rsid w:val="00D56394"/>
    <w:rsid w:val="00D91691"/>
    <w:rsid w:val="00DA6C22"/>
    <w:rsid w:val="00DD6AE7"/>
    <w:rsid w:val="00E06488"/>
    <w:rsid w:val="00E22AD5"/>
    <w:rsid w:val="00E4239A"/>
    <w:rsid w:val="00E62F0A"/>
    <w:rsid w:val="00E66F23"/>
    <w:rsid w:val="00E76F6D"/>
    <w:rsid w:val="00E824FA"/>
    <w:rsid w:val="00E82887"/>
    <w:rsid w:val="00E93740"/>
    <w:rsid w:val="00EC11CC"/>
    <w:rsid w:val="00EC7EC0"/>
    <w:rsid w:val="00ED3049"/>
    <w:rsid w:val="00EE70A8"/>
    <w:rsid w:val="00EF657E"/>
    <w:rsid w:val="00F13B25"/>
    <w:rsid w:val="00F158CD"/>
    <w:rsid w:val="00F2601E"/>
    <w:rsid w:val="00F42D12"/>
    <w:rsid w:val="00F4684E"/>
    <w:rsid w:val="00F64F46"/>
    <w:rsid w:val="00F7011F"/>
    <w:rsid w:val="00F80CCE"/>
    <w:rsid w:val="00F90546"/>
    <w:rsid w:val="00F927A1"/>
    <w:rsid w:val="00FD19C1"/>
    <w:rsid w:val="00FD29B5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B2C1CD-F5C3-4A6A-AA5E-6D9A5A56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88"/>
    <w:pPr>
      <w:spacing w:line="360" w:lineRule="auto"/>
      <w:jc w:val="both"/>
    </w:pPr>
    <w:rPr>
      <w:rFonts w:eastAsia="Calibr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06488"/>
    <w:rPr>
      <w:sz w:val="28"/>
      <w:szCs w:val="28"/>
      <w:lang w:val="ru-RU" w:eastAsia="ru-RU" w:bidi="ar-SA"/>
    </w:rPr>
  </w:style>
  <w:style w:type="paragraph" w:customStyle="1" w:styleId="ConsPlusNormal0">
    <w:name w:val="ConsPlusNormal"/>
    <w:link w:val="ConsPlusNormal"/>
    <w:rsid w:val="00E06488"/>
    <w:pPr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uiPriority w:val="59"/>
    <w:rsid w:val="00E66F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A53B86"/>
    <w:rPr>
      <w:sz w:val="20"/>
      <w:szCs w:val="20"/>
    </w:rPr>
  </w:style>
  <w:style w:type="character" w:customStyle="1" w:styleId="a5">
    <w:name w:val="Текст сноски Знак"/>
    <w:link w:val="a4"/>
    <w:rsid w:val="00A53B86"/>
    <w:rPr>
      <w:rFonts w:eastAsia="Calibri"/>
      <w:bCs/>
    </w:rPr>
  </w:style>
  <w:style w:type="character" w:styleId="a6">
    <w:name w:val="footnote reference"/>
    <w:rsid w:val="00A53B86"/>
    <w:rPr>
      <w:vertAlign w:val="superscript"/>
    </w:rPr>
  </w:style>
  <w:style w:type="character" w:customStyle="1" w:styleId="wmi-callto">
    <w:name w:val="wmi-callto"/>
    <w:rsid w:val="000B00C9"/>
  </w:style>
  <w:style w:type="paragraph" w:styleId="a7">
    <w:name w:val="Normal (Web)"/>
    <w:basedOn w:val="a"/>
    <w:uiPriority w:val="99"/>
    <w:unhideWhenUsed/>
    <w:rsid w:val="00F927A1"/>
    <w:pPr>
      <w:spacing w:before="100" w:beforeAutospacing="1" w:after="100" w:afterAutospacing="1" w:line="240" w:lineRule="auto"/>
      <w:jc w:val="left"/>
    </w:pPr>
    <w:rPr>
      <w:rFonts w:eastAsiaTheme="minorEastAsia"/>
      <w:bCs w:val="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8531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531B9"/>
    <w:rPr>
      <w:rFonts w:ascii="Segoe UI" w:eastAsia="Calibr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093D8-0FCA-44E8-AA82-CEDB1E31E039}"/>
</file>

<file path=customXml/itemProps2.xml><?xml version="1.0" encoding="utf-8"?>
<ds:datastoreItem xmlns:ds="http://schemas.openxmlformats.org/officeDocument/2006/customXml" ds:itemID="{1471732D-3342-4BBC-A499-CFC7988168C2}"/>
</file>

<file path=customXml/itemProps3.xml><?xml version="1.0" encoding="utf-8"?>
<ds:datastoreItem xmlns:ds="http://schemas.openxmlformats.org/officeDocument/2006/customXml" ds:itemID="{3AD7E2A3-7540-4528-AD4E-F031D4989FA8}"/>
</file>

<file path=customXml/itemProps4.xml><?xml version="1.0" encoding="utf-8"?>
<ds:datastoreItem xmlns:ds="http://schemas.openxmlformats.org/officeDocument/2006/customXml" ds:itemID="{FCE3566E-4453-41DB-A06B-8A4390FA4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 ПРИ ПРАВИТЕЛЬСТВЕ</vt:lpstr>
    </vt:vector>
  </TitlesOfParts>
  <Company>MoBIL GROUP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Компромиссная схема повышения пенсионного возраста, приемлемая в сложившихся и прогнозируемых демографических и макроэкономических условиях (рекламно-техническое описание)</dc:title>
  <dc:subject/>
  <dc:creator>Аль-Натор Мухаммед Субхи</dc:creator>
  <cp:keywords/>
  <dc:description/>
  <cp:lastModifiedBy>Белгородцев Виктор Петрович</cp:lastModifiedBy>
  <cp:revision>2</cp:revision>
  <cp:lastPrinted>2018-04-07T19:37:00Z</cp:lastPrinted>
  <dcterms:created xsi:type="dcterms:W3CDTF">2018-04-09T06:15:00Z</dcterms:created>
  <dcterms:modified xsi:type="dcterms:W3CDTF">2018-04-09T06:15:00Z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