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4FD6C57A" w:rsidR="00AA0D64" w:rsidRPr="00745EBD" w:rsidRDefault="00AA0D64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45EBD">
        <w:rPr>
          <w:rFonts w:ascii="Times New Roman" w:hAnsi="Times New Roman" w:cs="Times New Roman"/>
          <w:sz w:val="28"/>
          <w:szCs w:val="28"/>
        </w:rPr>
        <w:t xml:space="preserve">Учебные предметы, курсы, дисциплины (модули), предусмотренные образовательной программой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E50CC1" w:rsidRPr="00E50C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E50C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Корпоративная отчетность и право в бизнесе</w:t>
      </w:r>
      <w:r w:rsidR="00E50CC1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38.0</w:t>
      </w:r>
      <w:r w:rsidR="00CF149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.01 - Экономика </w:t>
      </w:r>
    </w:p>
    <w:p w14:paraId="5E4BBDDD" w14:textId="136F9ADE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50CC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p w14:paraId="3D01ACF5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Национальная экономика</w:t>
      </w:r>
    </w:p>
    <w:p w14:paraId="0455123E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Финансовые и денежно-кредитные методы регулирования экономики</w:t>
      </w:r>
    </w:p>
    <w:p w14:paraId="4EA982D4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Математическое обеспечение финансовых решений</w:t>
      </w:r>
    </w:p>
    <w:p w14:paraId="580CE298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Корпоративные финансы (продвинутый уровень)</w:t>
      </w:r>
    </w:p>
    <w:p w14:paraId="015DCA6C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Финансовый учет и отчетность</w:t>
      </w:r>
    </w:p>
    <w:p w14:paraId="062B459D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Международные стандарты финансовой отчетности (продвинутый курс)</w:t>
      </w:r>
    </w:p>
    <w:p w14:paraId="451A4A3D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Консолидация и трансформация финансовой отчетности</w:t>
      </w:r>
    </w:p>
    <w:p w14:paraId="1C9EDFF6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Корпоративные информационные системы</w:t>
      </w:r>
    </w:p>
    <w:p w14:paraId="160293C5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Экономическая экспертиза</w:t>
      </w:r>
    </w:p>
    <w:p w14:paraId="7BEBB744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Анализ финансовой отчетности, подготовленной в соответствии с международными стандартами финансовой отчетности</w:t>
      </w:r>
    </w:p>
    <w:p w14:paraId="1CE2AF94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Мошенничество в финансовой отчетности: обнаружение и предупреждение</w:t>
      </w:r>
    </w:p>
    <w:p w14:paraId="3F768E9E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Анализ корпоративной отчетности</w:t>
      </w:r>
    </w:p>
    <w:p w14:paraId="424A12AC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Корпоративное и бизнес-право</w:t>
      </w:r>
    </w:p>
    <w:p w14:paraId="2EBB3111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Договорное право</w:t>
      </w:r>
    </w:p>
    <w:p w14:paraId="5E56382F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Налоговое право</w:t>
      </w:r>
    </w:p>
    <w:p w14:paraId="2CB64934" w14:textId="77777777" w:rsidR="00E50CC1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Юридическая ответственность субъектов предпринимательской деятельности</w:t>
      </w:r>
    </w:p>
    <w:p w14:paraId="1F50892B" w14:textId="68231978" w:rsidR="008530B0" w:rsidRPr="00E50CC1" w:rsidRDefault="00E50CC1" w:rsidP="00BE00C2">
      <w:pPr>
        <w:pStyle w:val="a7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E50CC1">
        <w:rPr>
          <w:rFonts w:ascii="Times New Roman" w:hAnsi="Times New Roman" w:cs="Times New Roman"/>
          <w:sz w:val="28"/>
          <w:szCs w:val="28"/>
        </w:rPr>
        <w:t>Судебная практика рассмотрения публичных и корпоративных споров</w:t>
      </w:r>
    </w:p>
    <w:sectPr w:rsidR="008530B0" w:rsidRPr="00E50CC1" w:rsidSect="00E50C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D1AB8"/>
    <w:multiLevelType w:val="hybridMultilevel"/>
    <w:tmpl w:val="8B4A1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35452E"/>
    <w:multiLevelType w:val="hybridMultilevel"/>
    <w:tmpl w:val="58F64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69233799">
    <w:abstractNumId w:val="0"/>
  </w:num>
  <w:num w:numId="3" w16cid:durableId="1440760135">
    <w:abstractNumId w:val="3"/>
  </w:num>
  <w:num w:numId="4" w16cid:durableId="149252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251248"/>
    <w:rsid w:val="002B0425"/>
    <w:rsid w:val="0030300E"/>
    <w:rsid w:val="006D57F6"/>
    <w:rsid w:val="00745EBD"/>
    <w:rsid w:val="008530B0"/>
    <w:rsid w:val="00AA0D64"/>
    <w:rsid w:val="00BE00C2"/>
    <w:rsid w:val="00C016A4"/>
    <w:rsid w:val="00CF1492"/>
    <w:rsid w:val="00E5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6</cp:revision>
  <dcterms:created xsi:type="dcterms:W3CDTF">2026-01-21T09:21:00Z</dcterms:created>
  <dcterms:modified xsi:type="dcterms:W3CDTF">2026-08-07T06:12:00Z</dcterms:modified>
</cp:coreProperties>
</file>