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E26465D" w14:textId="0258B597" w:rsidR="00EF712B" w:rsidRPr="00EF712B" w:rsidRDefault="00EF712B" w:rsidP="00EF712B">
      <w:pPr>
        <w:spacing w:after="0" w:line="360" w:lineRule="auto"/>
        <w:ind w:left="1495" w:hanging="360"/>
        <w:jc w:val="center"/>
        <w:rPr>
          <w:rFonts w:ascii="Times New Roman" w:hAnsi="Times New Roman" w:cs="Times New Roman"/>
          <w:b/>
          <w:sz w:val="36"/>
        </w:rPr>
      </w:pPr>
      <w:bookmarkStart w:id="0" w:name="_GoBack"/>
      <w:r w:rsidRPr="00EF712B">
        <w:rPr>
          <w:rFonts w:ascii="Times New Roman" w:hAnsi="Times New Roman" w:cs="Times New Roman"/>
          <w:b/>
          <w:sz w:val="36"/>
        </w:rPr>
        <w:t>Примерные темы ВКР</w:t>
      </w:r>
    </w:p>
    <w:bookmarkEnd w:id="0"/>
    <w:p w14:paraId="496380ED" w14:textId="77777777" w:rsidR="00EF712B" w:rsidRPr="007B5FB3" w:rsidRDefault="00EF712B" w:rsidP="00EF712B">
      <w:pPr>
        <w:pStyle w:val="a3"/>
        <w:numPr>
          <w:ilvl w:val="0"/>
          <w:numId w:val="1"/>
        </w:num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B5FB3">
        <w:rPr>
          <w:rFonts w:ascii="Times New Roman" w:eastAsia="Times New Roman" w:hAnsi="Times New Roman" w:cs="Times New Roman"/>
          <w:sz w:val="28"/>
          <w:szCs w:val="28"/>
          <w:lang w:eastAsia="ru-RU"/>
        </w:rPr>
        <w:t>Формирование глобальной климатической политики: политико-экономический анализ</w:t>
      </w:r>
    </w:p>
    <w:p w14:paraId="0955EBE1" w14:textId="77777777" w:rsidR="00EF712B" w:rsidRPr="007B5FB3" w:rsidRDefault="00EF712B" w:rsidP="00EF712B">
      <w:pPr>
        <w:numPr>
          <w:ilvl w:val="0"/>
          <w:numId w:val="1"/>
        </w:numPr>
        <w:spacing w:after="0" w:line="360" w:lineRule="auto"/>
        <w:ind w:left="1502" w:hanging="35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B5FB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Региональные аспекты внешней политики страны ОПЕК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(</w:t>
      </w:r>
      <w:r w:rsidRPr="007B5FB3">
        <w:rPr>
          <w:rFonts w:ascii="Times New Roman" w:eastAsia="Times New Roman" w:hAnsi="Times New Roman" w:cs="Times New Roman"/>
          <w:sz w:val="28"/>
          <w:szCs w:val="28"/>
          <w:lang w:eastAsia="ru-RU"/>
        </w:rPr>
        <w:t>на выбор) в 2015-2026 гг.</w:t>
      </w:r>
    </w:p>
    <w:p w14:paraId="4046B9CE" w14:textId="77777777" w:rsidR="00EF712B" w:rsidRPr="007B5FB3" w:rsidRDefault="00EF712B" w:rsidP="00EF712B">
      <w:pPr>
        <w:numPr>
          <w:ilvl w:val="0"/>
          <w:numId w:val="1"/>
        </w:numPr>
        <w:spacing w:after="0" w:line="360" w:lineRule="auto"/>
        <w:ind w:left="1502" w:hanging="35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B5FB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Особенности энергетической дипломатии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страны (на выбор).</w:t>
      </w:r>
    </w:p>
    <w:p w14:paraId="7452EDF9" w14:textId="77777777" w:rsidR="00EF712B" w:rsidRPr="007B5FB3" w:rsidRDefault="00EF712B" w:rsidP="00EF712B">
      <w:pPr>
        <w:numPr>
          <w:ilvl w:val="0"/>
          <w:numId w:val="1"/>
        </w:numPr>
        <w:spacing w:after="0" w:line="360" w:lineRule="auto"/>
        <w:ind w:left="1502" w:hanging="35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B5FB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Особенности энергетической дипломатии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России </w:t>
      </w:r>
      <w:r w:rsidRPr="007B5FB3">
        <w:rPr>
          <w:rFonts w:ascii="Times New Roman" w:eastAsia="Times New Roman" w:hAnsi="Times New Roman" w:cs="Times New Roman"/>
          <w:sz w:val="28"/>
          <w:szCs w:val="28"/>
          <w:lang w:eastAsia="ru-RU"/>
        </w:rPr>
        <w:t>(201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4</w:t>
      </w:r>
      <w:r w:rsidRPr="007B5FB3">
        <w:rPr>
          <w:rFonts w:ascii="Times New Roman" w:eastAsia="Times New Roman" w:hAnsi="Times New Roman" w:cs="Times New Roman"/>
          <w:sz w:val="28"/>
          <w:szCs w:val="28"/>
          <w:lang w:eastAsia="ru-RU"/>
        </w:rPr>
        <w:t>-202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7</w:t>
      </w:r>
      <w:r w:rsidRPr="007B5FB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гг.)</w:t>
      </w:r>
    </w:p>
    <w:p w14:paraId="2C805701" w14:textId="77777777" w:rsidR="00EF712B" w:rsidRPr="007B5FB3" w:rsidRDefault="00EF712B" w:rsidP="00EF712B">
      <w:pPr>
        <w:numPr>
          <w:ilvl w:val="0"/>
          <w:numId w:val="1"/>
        </w:numPr>
        <w:spacing w:after="0" w:line="360" w:lineRule="auto"/>
        <w:ind w:left="1502" w:hanging="35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Политико-экономические о</w:t>
      </w:r>
      <w:r w:rsidRPr="007B5FB3">
        <w:rPr>
          <w:rFonts w:ascii="Times New Roman" w:eastAsia="Times New Roman" w:hAnsi="Times New Roman" w:cs="Times New Roman"/>
          <w:sz w:val="28"/>
          <w:szCs w:val="28"/>
          <w:lang w:eastAsia="ru-RU"/>
        </w:rPr>
        <w:t>тношения России и Евросоюза на современном этапе.</w:t>
      </w:r>
    </w:p>
    <w:p w14:paraId="52968A6B" w14:textId="77777777" w:rsidR="00EF712B" w:rsidRPr="007B5FB3" w:rsidRDefault="00EF712B" w:rsidP="00EF712B">
      <w:pPr>
        <w:numPr>
          <w:ilvl w:val="0"/>
          <w:numId w:val="1"/>
        </w:numPr>
        <w:spacing w:after="0" w:line="360" w:lineRule="auto"/>
        <w:ind w:left="1502" w:hanging="35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B5FB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 Миграционные проблемы стран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(на выбор)</w:t>
      </w:r>
      <w:r w:rsidRPr="007B5FB3">
        <w:rPr>
          <w:rFonts w:ascii="Times New Roman" w:eastAsia="Times New Roman" w:hAnsi="Times New Roman" w:cs="Times New Roman"/>
          <w:sz w:val="28"/>
          <w:szCs w:val="28"/>
          <w:lang w:eastAsia="ru-RU"/>
        </w:rPr>
        <w:t>: решения, противоречия, прогнозы</w:t>
      </w:r>
    </w:p>
    <w:p w14:paraId="74490887" w14:textId="77777777" w:rsidR="00EF712B" w:rsidRPr="007B5FB3" w:rsidRDefault="00EF712B" w:rsidP="00EF712B">
      <w:pPr>
        <w:numPr>
          <w:ilvl w:val="0"/>
          <w:numId w:val="1"/>
        </w:numPr>
        <w:spacing w:after="0" w:line="360" w:lineRule="auto"/>
        <w:ind w:left="1502" w:hanging="35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Э</w:t>
      </w:r>
      <w:r w:rsidRPr="007B5FB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нергетические проекты России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(</w:t>
      </w:r>
      <w:r w:rsidRPr="007B5FB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стран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на выбор) </w:t>
      </w:r>
      <w:r w:rsidRPr="007B5FB3">
        <w:rPr>
          <w:rFonts w:ascii="Times New Roman" w:eastAsia="Times New Roman" w:hAnsi="Times New Roman" w:cs="Times New Roman"/>
          <w:sz w:val="28"/>
          <w:szCs w:val="28"/>
          <w:lang w:eastAsia="ru-RU"/>
        </w:rPr>
        <w:t>на современном этапе.</w:t>
      </w:r>
    </w:p>
    <w:p w14:paraId="30D92532" w14:textId="77777777" w:rsidR="00EF712B" w:rsidRPr="002A40BF" w:rsidRDefault="00EF712B" w:rsidP="00EF712B">
      <w:pPr>
        <w:pStyle w:val="a3"/>
        <w:numPr>
          <w:ilvl w:val="0"/>
          <w:numId w:val="1"/>
        </w:numPr>
        <w:tabs>
          <w:tab w:val="num" w:pos="2411"/>
        </w:tabs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2A40BF">
        <w:rPr>
          <w:rFonts w:ascii="Times New Roman" w:eastAsia="Times New Roman" w:hAnsi="Times New Roman" w:cs="Times New Roman"/>
          <w:sz w:val="28"/>
          <w:szCs w:val="28"/>
          <w:lang w:eastAsia="ru-RU"/>
        </w:rPr>
        <w:t>Кибердипломатия</w:t>
      </w:r>
      <w:proofErr w:type="spellEnd"/>
      <w:r w:rsidRPr="002A40B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как новый фактор международных отношений: генезис и перспективы</w:t>
      </w:r>
    </w:p>
    <w:p w14:paraId="1574B646" w14:textId="77777777" w:rsidR="00EF712B" w:rsidRPr="007B5FB3" w:rsidRDefault="00EF712B" w:rsidP="00EF712B">
      <w:pPr>
        <w:numPr>
          <w:ilvl w:val="0"/>
          <w:numId w:val="1"/>
        </w:numPr>
        <w:spacing w:after="0" w:line="360" w:lineRule="auto"/>
        <w:ind w:left="1502" w:hanging="35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B5FB3">
        <w:rPr>
          <w:rFonts w:ascii="Times New Roman" w:eastAsia="Times New Roman" w:hAnsi="Times New Roman" w:cs="Times New Roman"/>
          <w:sz w:val="28"/>
          <w:szCs w:val="28"/>
          <w:lang w:eastAsia="ru-RU"/>
        </w:rPr>
        <w:t>Формирование многополярного мира в контексте вызовов современной международной повестки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39815D5E" w14:textId="77777777" w:rsidR="00EF712B" w:rsidRPr="007B5FB3" w:rsidRDefault="00EF712B" w:rsidP="00EF712B">
      <w:pPr>
        <w:numPr>
          <w:ilvl w:val="0"/>
          <w:numId w:val="1"/>
        </w:numPr>
        <w:spacing w:after="0" w:line="360" w:lineRule="auto"/>
        <w:ind w:left="1502" w:hanging="35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B5FB3">
        <w:rPr>
          <w:rFonts w:ascii="Times New Roman" w:eastAsia="Times New Roman" w:hAnsi="Times New Roman" w:cs="Times New Roman"/>
          <w:sz w:val="28"/>
          <w:szCs w:val="28"/>
          <w:lang w:eastAsia="ru-RU"/>
        </w:rPr>
        <w:t>Конкуренция транспортно-логистических маршрутов в Евразии после 2022 года и возможности для России</w:t>
      </w:r>
    </w:p>
    <w:p w14:paraId="32E7B2FF" w14:textId="77777777" w:rsidR="00EF712B" w:rsidRPr="007B5FB3" w:rsidRDefault="00EF712B" w:rsidP="00EF712B">
      <w:pPr>
        <w:numPr>
          <w:ilvl w:val="0"/>
          <w:numId w:val="1"/>
        </w:numPr>
        <w:spacing w:after="0" w:line="360" w:lineRule="auto"/>
        <w:ind w:left="1502" w:hanging="35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7B5FB3">
        <w:rPr>
          <w:rFonts w:ascii="Times New Roman" w:eastAsia="Times New Roman" w:hAnsi="Times New Roman" w:cs="Times New Roman"/>
          <w:sz w:val="28"/>
          <w:szCs w:val="28"/>
          <w:lang w:eastAsia="ru-RU"/>
        </w:rPr>
        <w:t>Многовекторность</w:t>
      </w:r>
      <w:proofErr w:type="spellEnd"/>
      <w:r w:rsidRPr="007B5FB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Центральной Азии в условиях конкуренции России и Китая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7DCA9DED" w14:textId="77777777" w:rsidR="00EF712B" w:rsidRPr="007B5FB3" w:rsidRDefault="00EF712B" w:rsidP="00EF712B">
      <w:pPr>
        <w:numPr>
          <w:ilvl w:val="0"/>
          <w:numId w:val="1"/>
        </w:numPr>
        <w:spacing w:after="0" w:line="360" w:lineRule="auto"/>
        <w:ind w:left="1502" w:hanging="35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B5FB3">
        <w:rPr>
          <w:rFonts w:ascii="Times New Roman" w:eastAsia="Times New Roman" w:hAnsi="Times New Roman" w:cs="Times New Roman"/>
          <w:sz w:val="28"/>
          <w:szCs w:val="28"/>
          <w:lang w:eastAsia="ru-RU"/>
        </w:rPr>
        <w:t>Специфика энергетической политики России в Центральной Азии в атомной сфере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61197D43" w14:textId="77777777" w:rsidR="00EF712B" w:rsidRPr="007B5FB3" w:rsidRDefault="00EF712B" w:rsidP="00EF712B">
      <w:pPr>
        <w:numPr>
          <w:ilvl w:val="0"/>
          <w:numId w:val="1"/>
        </w:numPr>
        <w:spacing w:after="0" w:line="360" w:lineRule="auto"/>
        <w:ind w:left="1502" w:hanging="35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B5FB3">
        <w:rPr>
          <w:rFonts w:ascii="Times New Roman" w:eastAsia="Times New Roman" w:hAnsi="Times New Roman" w:cs="Times New Roman"/>
          <w:sz w:val="28"/>
          <w:szCs w:val="28"/>
          <w:lang w:eastAsia="ru-RU"/>
        </w:rPr>
        <w:t>Современное состояние и перспективы концепции коллективной безопасности на постсоветском пространстве (кейсы ОДКБ и ШОС) </w:t>
      </w:r>
    </w:p>
    <w:p w14:paraId="29E77066" w14:textId="77777777" w:rsidR="00EF712B" w:rsidRPr="007B5FB3" w:rsidRDefault="00EF712B" w:rsidP="00EF712B">
      <w:pPr>
        <w:numPr>
          <w:ilvl w:val="0"/>
          <w:numId w:val="1"/>
        </w:numPr>
        <w:spacing w:after="0" w:line="360" w:lineRule="auto"/>
        <w:ind w:left="1502" w:hanging="35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B5FB3">
        <w:rPr>
          <w:rFonts w:ascii="Times New Roman" w:eastAsia="Times New Roman" w:hAnsi="Times New Roman" w:cs="Times New Roman"/>
          <w:sz w:val="28"/>
          <w:szCs w:val="28"/>
          <w:lang w:eastAsia="ru-RU"/>
        </w:rPr>
        <w:t>Евразийская интеграция: актуальные вызовы, динамика, перспективы</w:t>
      </w:r>
    </w:p>
    <w:p w14:paraId="2ECFB29A" w14:textId="77777777" w:rsidR="00EF712B" w:rsidRPr="007B5FB3" w:rsidRDefault="00EF712B" w:rsidP="00EF712B">
      <w:pPr>
        <w:numPr>
          <w:ilvl w:val="0"/>
          <w:numId w:val="1"/>
        </w:numPr>
        <w:spacing w:after="0" w:line="360" w:lineRule="auto"/>
        <w:ind w:left="1502" w:hanging="35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B5FB3">
        <w:rPr>
          <w:rFonts w:ascii="Times New Roman" w:eastAsia="Times New Roman" w:hAnsi="Times New Roman" w:cs="Times New Roman"/>
          <w:sz w:val="28"/>
          <w:szCs w:val="28"/>
          <w:lang w:eastAsia="ru-RU"/>
        </w:rPr>
        <w:t>Южный Кавказ в постсоветской политике России (любой страновой кейс) </w:t>
      </w:r>
    </w:p>
    <w:p w14:paraId="7103849A" w14:textId="77777777" w:rsidR="00EF712B" w:rsidRPr="007B5FB3" w:rsidRDefault="00EF712B" w:rsidP="00EF712B">
      <w:pPr>
        <w:numPr>
          <w:ilvl w:val="0"/>
          <w:numId w:val="1"/>
        </w:numPr>
        <w:spacing w:after="0" w:line="360" w:lineRule="auto"/>
        <w:ind w:left="1502" w:hanging="35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B5FB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Формирование нового регионального порядка на Ближнем Востоке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2023-2027 гг. </w:t>
      </w:r>
    </w:p>
    <w:p w14:paraId="2F02ECCD" w14:textId="77777777" w:rsidR="00EF712B" w:rsidRPr="007B5FB3" w:rsidRDefault="00EF712B" w:rsidP="00EF712B">
      <w:pPr>
        <w:numPr>
          <w:ilvl w:val="0"/>
          <w:numId w:val="1"/>
        </w:numPr>
        <w:spacing w:after="0" w:line="360" w:lineRule="auto"/>
        <w:ind w:left="1502" w:hanging="35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B5FB3">
        <w:rPr>
          <w:rFonts w:ascii="Times New Roman" w:eastAsia="Times New Roman" w:hAnsi="Times New Roman" w:cs="Times New Roman"/>
          <w:sz w:val="28"/>
          <w:szCs w:val="28"/>
          <w:lang w:eastAsia="ru-RU"/>
        </w:rPr>
        <w:t>Трансформация международных ограничений в сфере стратегической стабильности в контексте цифровизации и роли искусственного интеллекта.</w:t>
      </w:r>
    </w:p>
    <w:p w14:paraId="1E433AD5" w14:textId="77777777" w:rsidR="00EF712B" w:rsidRPr="007B5FB3" w:rsidRDefault="00EF712B" w:rsidP="00EF712B">
      <w:pPr>
        <w:numPr>
          <w:ilvl w:val="0"/>
          <w:numId w:val="1"/>
        </w:numPr>
        <w:spacing w:after="0" w:line="360" w:lineRule="auto"/>
        <w:ind w:left="1502" w:hanging="35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B5FB3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Северный морской путь как инструмент геополитического влияния России: возможности и структурные ограничения. </w:t>
      </w:r>
    </w:p>
    <w:p w14:paraId="1434C65D" w14:textId="77777777" w:rsidR="00EF712B" w:rsidRPr="007B5FB3" w:rsidRDefault="00EF712B" w:rsidP="00EF712B">
      <w:pPr>
        <w:numPr>
          <w:ilvl w:val="0"/>
          <w:numId w:val="1"/>
        </w:numPr>
        <w:spacing w:after="0" w:line="360" w:lineRule="auto"/>
        <w:ind w:left="1502" w:hanging="35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B5FB3">
        <w:rPr>
          <w:rFonts w:ascii="Times New Roman" w:eastAsia="Times New Roman" w:hAnsi="Times New Roman" w:cs="Times New Roman"/>
          <w:sz w:val="28"/>
          <w:szCs w:val="28"/>
          <w:lang w:eastAsia="ru-RU"/>
        </w:rPr>
        <w:t>Милитаризация космоса как новый аспект военного противостояния ведущих мировых держав в XXI в. (на примере РФ,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7B5FB3">
        <w:rPr>
          <w:rFonts w:ascii="Times New Roman" w:eastAsia="Times New Roman" w:hAnsi="Times New Roman" w:cs="Times New Roman"/>
          <w:sz w:val="28"/>
          <w:szCs w:val="28"/>
          <w:lang w:eastAsia="ru-RU"/>
        </w:rPr>
        <w:t>США, КНР)</w:t>
      </w:r>
    </w:p>
    <w:p w14:paraId="47AA8E1D" w14:textId="77777777" w:rsidR="00EF712B" w:rsidRPr="007B5FB3" w:rsidRDefault="00EF712B" w:rsidP="00EF712B">
      <w:pPr>
        <w:numPr>
          <w:ilvl w:val="0"/>
          <w:numId w:val="1"/>
        </w:numPr>
        <w:spacing w:after="0" w:line="360" w:lineRule="auto"/>
        <w:ind w:left="1502" w:hanging="35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B5FB3">
        <w:rPr>
          <w:rFonts w:ascii="Times New Roman" w:eastAsia="Times New Roman" w:hAnsi="Times New Roman" w:cs="Times New Roman"/>
          <w:sz w:val="28"/>
          <w:szCs w:val="28"/>
          <w:lang w:eastAsia="ru-RU"/>
        </w:rPr>
        <w:t>Милитаризация Арктики странами НАТО как новый виток эскалации и угроза национальной безопасности РФ  </w:t>
      </w:r>
    </w:p>
    <w:p w14:paraId="751ACE71" w14:textId="77777777" w:rsidR="00EF712B" w:rsidRPr="007B5FB3" w:rsidRDefault="00EF712B" w:rsidP="00EF712B">
      <w:pPr>
        <w:numPr>
          <w:ilvl w:val="0"/>
          <w:numId w:val="1"/>
        </w:numPr>
        <w:spacing w:after="0" w:line="360" w:lineRule="auto"/>
        <w:ind w:left="1502" w:hanging="35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B5FB3">
        <w:rPr>
          <w:rFonts w:ascii="Times New Roman" w:eastAsia="Times New Roman" w:hAnsi="Times New Roman" w:cs="Times New Roman"/>
          <w:sz w:val="28"/>
          <w:szCs w:val="28"/>
          <w:lang w:eastAsia="ru-RU"/>
        </w:rPr>
        <w:t>Роль прокси-фактора в современном военно-политическом противостоянии ключевых центров силы (на примере выбранных стран/региона/отдельного военного, экономического, культурного либо этнического компонента).</w:t>
      </w:r>
    </w:p>
    <w:p w14:paraId="206EB213" w14:textId="77777777" w:rsidR="00EF712B" w:rsidRPr="007B5FB3" w:rsidRDefault="00EF712B" w:rsidP="00EF712B">
      <w:pPr>
        <w:numPr>
          <w:ilvl w:val="0"/>
          <w:numId w:val="1"/>
        </w:numPr>
        <w:spacing w:after="0" w:line="360" w:lineRule="auto"/>
        <w:ind w:left="1502" w:hanging="35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B5FB3">
        <w:rPr>
          <w:rFonts w:ascii="Times New Roman" w:eastAsia="Times New Roman" w:hAnsi="Times New Roman" w:cs="Times New Roman"/>
          <w:sz w:val="28"/>
          <w:szCs w:val="28"/>
          <w:lang w:eastAsia="ru-RU"/>
        </w:rPr>
        <w:t>«Логистическая дипломатия РФ»: перспективы развития Северного морского пути и создания транспортного коридора «Север-Юг» в условиях глобальной политической нестабильности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7BFFBB25" w14:textId="77777777" w:rsidR="00DA0B35" w:rsidRDefault="00DA0B35"/>
    <w:sectPr w:rsidR="00DA0B35" w:rsidSect="00EF712B">
      <w:pgSz w:w="11906" w:h="16838"/>
      <w:pgMar w:top="1134" w:right="850" w:bottom="1134" w:left="142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7CE37E2"/>
    <w:multiLevelType w:val="hybridMultilevel"/>
    <w:tmpl w:val="541C34F2"/>
    <w:lvl w:ilvl="0" w:tplc="84F409A4">
      <w:start w:val="1"/>
      <w:numFmt w:val="decimal"/>
      <w:lvlText w:val="%1."/>
      <w:lvlJc w:val="left"/>
      <w:pPr>
        <w:ind w:left="1495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2215" w:hanging="360"/>
      </w:pPr>
    </w:lvl>
    <w:lvl w:ilvl="2" w:tplc="0419001B" w:tentative="1">
      <w:start w:val="1"/>
      <w:numFmt w:val="lowerRoman"/>
      <w:lvlText w:val="%3."/>
      <w:lvlJc w:val="right"/>
      <w:pPr>
        <w:ind w:left="2935" w:hanging="180"/>
      </w:pPr>
    </w:lvl>
    <w:lvl w:ilvl="3" w:tplc="0419000F" w:tentative="1">
      <w:start w:val="1"/>
      <w:numFmt w:val="decimal"/>
      <w:lvlText w:val="%4."/>
      <w:lvlJc w:val="left"/>
      <w:pPr>
        <w:ind w:left="3655" w:hanging="360"/>
      </w:pPr>
    </w:lvl>
    <w:lvl w:ilvl="4" w:tplc="04190019" w:tentative="1">
      <w:start w:val="1"/>
      <w:numFmt w:val="lowerLetter"/>
      <w:lvlText w:val="%5."/>
      <w:lvlJc w:val="left"/>
      <w:pPr>
        <w:ind w:left="4375" w:hanging="360"/>
      </w:pPr>
    </w:lvl>
    <w:lvl w:ilvl="5" w:tplc="0419001B" w:tentative="1">
      <w:start w:val="1"/>
      <w:numFmt w:val="lowerRoman"/>
      <w:lvlText w:val="%6."/>
      <w:lvlJc w:val="right"/>
      <w:pPr>
        <w:ind w:left="5095" w:hanging="180"/>
      </w:pPr>
    </w:lvl>
    <w:lvl w:ilvl="6" w:tplc="0419000F" w:tentative="1">
      <w:start w:val="1"/>
      <w:numFmt w:val="decimal"/>
      <w:lvlText w:val="%7."/>
      <w:lvlJc w:val="left"/>
      <w:pPr>
        <w:ind w:left="5815" w:hanging="360"/>
      </w:pPr>
    </w:lvl>
    <w:lvl w:ilvl="7" w:tplc="04190019" w:tentative="1">
      <w:start w:val="1"/>
      <w:numFmt w:val="lowerLetter"/>
      <w:lvlText w:val="%8."/>
      <w:lvlJc w:val="left"/>
      <w:pPr>
        <w:ind w:left="6535" w:hanging="360"/>
      </w:pPr>
    </w:lvl>
    <w:lvl w:ilvl="8" w:tplc="0419001B" w:tentative="1">
      <w:start w:val="1"/>
      <w:numFmt w:val="lowerRoman"/>
      <w:lvlText w:val="%9."/>
      <w:lvlJc w:val="right"/>
      <w:pPr>
        <w:ind w:left="7255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B5DE6"/>
    <w:rsid w:val="00BB5DE6"/>
    <w:rsid w:val="00DA0B35"/>
    <w:rsid w:val="00EF71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846C5FC"/>
  <w15:chartTrackingRefBased/>
  <w15:docId w15:val="{96EDAD8B-1212-4FA4-B0D9-04F5864C769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EF712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EF712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314</Words>
  <Characters>1791</Characters>
  <Application>Microsoft Office Word</Application>
  <DocSecurity>0</DocSecurity>
  <Lines>14</Lines>
  <Paragraphs>4</Paragraphs>
  <ScaleCrop>false</ScaleCrop>
  <Company/>
  <LinksUpToDate>false</LinksUpToDate>
  <CharactersWithSpaces>2101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Загребельная Алина Витальевна</dc:creator>
  <cp:keywords/>
  <dc:description/>
  <cp:lastModifiedBy>Загребельная Алина Витальевна</cp:lastModifiedBy>
  <cp:revision>2</cp:revision>
  <dcterms:created xsi:type="dcterms:W3CDTF">2026-09-16T10:29:00Z</dcterms:created>
  <dcterms:modified xsi:type="dcterms:W3CDTF">2026-09-16T10:31:00Z</dcterms:modified>
</cp:coreProperties>
</file>