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3A1233" w:rsidRPr="003A1233">
        <w:rPr>
          <w:rFonts w:ascii="Times New Roman" w:hAnsi="Times New Roman" w:cs="Times New Roman"/>
          <w:sz w:val="24"/>
          <w:szCs w:val="24"/>
        </w:rPr>
        <w:t>Финансовый анализ и оценка инвестиционных решений</w:t>
      </w: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C2">
        <w:rPr>
          <w:rFonts w:ascii="Times New Roman" w:hAnsi="Times New Roman" w:cs="Times New Roman"/>
          <w:sz w:val="24"/>
          <w:szCs w:val="24"/>
        </w:rPr>
        <w:t xml:space="preserve">38.04.01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58C2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80618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A1233"/>
    <w:rsid w:val="003D3B68"/>
    <w:rsid w:val="00473705"/>
    <w:rsid w:val="004D4DD6"/>
    <w:rsid w:val="00506654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8</cp:revision>
  <dcterms:created xsi:type="dcterms:W3CDTF">2024-04-26T10:37:00Z</dcterms:created>
  <dcterms:modified xsi:type="dcterms:W3CDTF">2025-04-16T12:31:00Z</dcterms:modified>
</cp:coreProperties>
</file>