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44" w:rsidRPr="00857C8E" w:rsidRDefault="00312D44" w:rsidP="00294DB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АЗЕЦ</w:t>
      </w:r>
    </w:p>
    <w:p w:rsidR="00312D44" w:rsidRPr="00857C8E" w:rsidRDefault="00312D44" w:rsidP="00312D4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D44" w:rsidRPr="00857C8E" w:rsidRDefault="00312D44" w:rsidP="00312D4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312D44" w:rsidRPr="00857C8E" w:rsidRDefault="00312D44" w:rsidP="0031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научных (и учебно-методических) трудов _________________________  </w:t>
      </w:r>
    </w:p>
    <w:p w:rsidR="00312D44" w:rsidRPr="00857C8E" w:rsidRDefault="00312D44" w:rsidP="0031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857C8E">
        <w:rPr>
          <w:rFonts w:ascii="Times New Roman" w:eastAsia="Times New Roman" w:hAnsi="Times New Roman" w:cs="Times New Roman"/>
          <w:sz w:val="20"/>
          <w:szCs w:val="28"/>
          <w:lang w:eastAsia="ru-RU"/>
        </w:rPr>
        <w:t>Фамилия Имя Отчество</w:t>
      </w:r>
    </w:p>
    <w:p w:rsidR="00312D44" w:rsidRPr="00857C8E" w:rsidRDefault="00312D44" w:rsidP="0031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383"/>
        <w:gridCol w:w="1362"/>
        <w:gridCol w:w="2845"/>
        <w:gridCol w:w="841"/>
        <w:gridCol w:w="1923"/>
      </w:tblGrid>
      <w:tr w:rsidR="00312D44" w:rsidRPr="00D43186" w:rsidTr="00F44B95">
        <w:tc>
          <w:tcPr>
            <w:tcW w:w="282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2" w:type="pct"/>
          </w:tcPr>
          <w:p w:rsidR="00312D44" w:rsidRPr="00D43186" w:rsidRDefault="00312D44" w:rsidP="00F44B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работы, </w:t>
            </w:r>
          </w:p>
          <w:p w:rsidR="00312D44" w:rsidRPr="00D43186" w:rsidRDefault="00312D44" w:rsidP="00F44B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её вид</w:t>
            </w:r>
          </w:p>
        </w:tc>
        <w:tc>
          <w:tcPr>
            <w:tcW w:w="687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35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424" w:type="pct"/>
          </w:tcPr>
          <w:p w:rsidR="00312D44" w:rsidRPr="00D43186" w:rsidRDefault="00312D44" w:rsidP="00F44B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312D44" w:rsidRPr="00D43186" w:rsidRDefault="00312D44" w:rsidP="00F44B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п.л</w:t>
            </w:r>
            <w:proofErr w:type="spellEnd"/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</w:tcPr>
          <w:p w:rsidR="00312D44" w:rsidRPr="00D43186" w:rsidRDefault="00312D44" w:rsidP="00F44B95">
            <w:pPr>
              <w:keepNext/>
              <w:spacing w:after="0" w:line="240" w:lineRule="auto"/>
              <w:ind w:left="-250" w:right="-147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Соавторы</w:t>
            </w:r>
          </w:p>
        </w:tc>
      </w:tr>
      <w:tr w:rsidR="00312D44" w:rsidRPr="00D43186" w:rsidTr="00F44B95">
        <w:trPr>
          <w:trHeight w:val="256"/>
        </w:trPr>
        <w:tc>
          <w:tcPr>
            <w:tcW w:w="282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12D44" w:rsidRPr="00D43186" w:rsidTr="00F44B95">
        <w:tc>
          <w:tcPr>
            <w:tcW w:w="5000" w:type="pct"/>
            <w:gridSpan w:val="6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Научные труды</w:t>
            </w:r>
            <w:r>
              <w:rPr>
                <w:rStyle w:val="a6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</w:tr>
      <w:tr w:rsidR="00312D44" w:rsidRPr="00D43186" w:rsidTr="00F44B95">
        <w:trPr>
          <w:trHeight w:val="1866"/>
        </w:trPr>
        <w:tc>
          <w:tcPr>
            <w:tcW w:w="282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2" w:type="pct"/>
          </w:tcPr>
          <w:p w:rsidR="00312D44" w:rsidRPr="00D43186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устойчивым развитием региона (на примере Кировской области) (статья)</w:t>
            </w:r>
          </w:p>
        </w:tc>
        <w:tc>
          <w:tcPr>
            <w:tcW w:w="687" w:type="pct"/>
          </w:tcPr>
          <w:p w:rsidR="00312D44" w:rsidRPr="00D43186" w:rsidRDefault="00312D44" w:rsidP="00F44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435" w:type="pct"/>
          </w:tcPr>
          <w:p w:rsidR="00312D44" w:rsidRPr="00D43186" w:rsidRDefault="00312D44" w:rsidP="00F44B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Проблемы современной </w:t>
            </w:r>
            <w:proofErr w:type="gramStart"/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экономики :</w:t>
            </w:r>
            <w:proofErr w:type="gramEnd"/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материалов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XXVII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Международной научно-практической конференции ; под общей редакцией Ж.А. </w:t>
            </w:r>
            <w:proofErr w:type="spellStart"/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Мингалевой</w:t>
            </w:r>
            <w:proofErr w:type="spellEnd"/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С.С. Чернова ; в 2 частях. Часть 1. – </w:t>
            </w:r>
            <w:proofErr w:type="gramStart"/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ЦРНС, 2015.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С. 40-43.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ISBN 978-5-00068-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431-3.</w:t>
            </w:r>
          </w:p>
          <w:p w:rsidR="00312D44" w:rsidRPr="00D43186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 500 экз.</w:t>
            </w:r>
          </w:p>
        </w:tc>
        <w:tc>
          <w:tcPr>
            <w:tcW w:w="424" w:type="pct"/>
          </w:tcPr>
          <w:p w:rsidR="00312D44" w:rsidRPr="00D43186" w:rsidRDefault="00312D44" w:rsidP="00F44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9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94DB5" w:rsidTr="00F44B95">
        <w:trPr>
          <w:trHeight w:val="1866"/>
        </w:trPr>
        <w:tc>
          <w:tcPr>
            <w:tcW w:w="282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202" w:type="pct"/>
          </w:tcPr>
          <w:p w:rsidR="00312D44" w:rsidRPr="00D43186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Communicative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competence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personality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day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changing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компетентность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личности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современном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меняющемся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мире</w:t>
            </w:r>
          </w:p>
          <w:p w:rsidR="00312D44" w:rsidRPr="00D43186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87" w:type="pct"/>
          </w:tcPr>
          <w:p w:rsidR="00312D44" w:rsidRPr="00D43186" w:rsidRDefault="00312D44" w:rsidP="00F44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435" w:type="pct"/>
          </w:tcPr>
          <w:p w:rsidR="00312D44" w:rsidRPr="00D43186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и социология. ** – 2015. – № 3-2 (110). 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С. 15-19.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2071-3665. </w:t>
            </w:r>
          </w:p>
          <w:p w:rsidR="00312D44" w:rsidRPr="00D43186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 300 экз.</w:t>
            </w:r>
          </w:p>
        </w:tc>
        <w:tc>
          <w:tcPr>
            <w:tcW w:w="424" w:type="pct"/>
          </w:tcPr>
          <w:p w:rsidR="00312D44" w:rsidRPr="00D4318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0,7</w:t>
            </w:r>
          </w:p>
          <w:p w:rsidR="00312D44" w:rsidRPr="00614EB6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</w:tcPr>
          <w:p w:rsidR="00312D44" w:rsidRPr="00D43186" w:rsidRDefault="00312D44" w:rsidP="00F44B95">
            <w:pPr>
              <w:spacing w:after="0" w:line="240" w:lineRule="auto"/>
              <w:ind w:left="-14" w:right="-112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M.G.</w:t>
            </w:r>
            <w:r w:rsidRPr="00882A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Akhmedova</w:t>
            </w:r>
            <w:proofErr w:type="spellEnd"/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E.V. </w:t>
            </w:r>
            <w:proofErr w:type="spellStart"/>
            <w:r w:rsidRPr="00D431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Chankova</w:t>
            </w:r>
            <w:proofErr w:type="spellEnd"/>
          </w:p>
        </w:tc>
      </w:tr>
      <w:tr w:rsidR="00312D44" w:rsidRPr="002C3DBC" w:rsidTr="00F44B95">
        <w:trPr>
          <w:trHeight w:val="1866"/>
        </w:trPr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Tax instruments for attracting investments in the tourism industry of Russia </w:t>
            </w:r>
          </w:p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Налоговые инструменты для привлечения инвестиций в туристическую отрасль России 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widowControl w:val="0"/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1435" w:type="pct"/>
          </w:tcPr>
          <w:p w:rsidR="00312D44" w:rsidRPr="002C3DBC" w:rsidRDefault="00804A37" w:rsidP="00F44B95">
            <w:pPr>
              <w:spacing w:after="0" w:line="264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hyperlink r:id="rId6" w:history="1">
              <w:r w:rsidR="00312D44" w:rsidRPr="002C3DBC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Financial and Economic Tools Used in the World Hospitality Industry</w:t>
              </w:r>
            </w:hyperlink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proceedings of the 5th International Conference on Management and Technology in Knowledge, Service, Tourism and Hospitality. – </w:t>
            </w:r>
            <w:proofErr w:type="gram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Moscow :</w:t>
            </w:r>
            <w:proofErr w:type="gram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Financial University, 2016.</w:t>
            </w:r>
            <w:r w:rsidR="00312D44"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– </w:t>
            </w:r>
            <w:proofErr w:type="gram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101</w:t>
            </w:r>
            <w:proofErr w:type="gram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-107.</w:t>
            </w:r>
            <w:r w:rsidR="00312D44" w:rsidRPr="002C3DB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312D44" w:rsidRPr="002C3DB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br/>
            </w:r>
            <w:r w:rsidR="00312D44"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12D44" w:rsidRPr="005D78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="00312D44"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933-113877357-7. </w:t>
            </w:r>
            <w:r w:rsidR="00312D44"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Текст : электронный.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DOI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10.18334/</w:t>
            </w:r>
            <w:proofErr w:type="spell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vinec</w:t>
            </w:r>
            <w:proofErr w:type="spell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.9.1.39795.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://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scopus</w:t>
            </w:r>
            <w:proofErr w:type="spell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com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authid</w:t>
            </w:r>
            <w:proofErr w:type="spell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detail</w:t>
            </w:r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uri</w:t>
            </w:r>
            <w:proofErr w:type="spell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?</w:t>
            </w:r>
            <w:proofErr w:type="spellStart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authorId</w:t>
            </w:r>
            <w:proofErr w:type="spellEnd"/>
            <w:r w:rsidR="00312D44"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=15062734300</w:t>
            </w:r>
            <w:r w:rsidR="00312D44" w:rsidRPr="002C3D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312D44" w:rsidRPr="002C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312D44" w:rsidRPr="002C3DBC" w:rsidRDefault="00312D44" w:rsidP="00F44B95">
            <w:pPr>
              <w:spacing w:after="0" w:line="264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обращения: 16.09.2020).</w:t>
            </w:r>
            <w:r w:rsidRPr="002C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312D44" w:rsidRPr="002C3DBC" w:rsidRDefault="00312D44" w:rsidP="00F44B95">
            <w:pPr>
              <w:spacing w:after="0" w:line="264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Scopus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rPr>
          <w:trHeight w:val="1268"/>
        </w:trPr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Подходы к обоснованию концепта согласия в политике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(глава монографии) 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Политическое согласие: от теории к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практике 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; под общей редакцией Я.А. 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Пляйса</w:t>
            </w:r>
            <w:proofErr w:type="spell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М.Е. Родионовой. </w:t>
            </w:r>
          </w:p>
          <w:p w:rsidR="00312D44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РУСАЙНС, 2016. – С. 88-103. – 312 с.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978-5-4365-1457-4.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 500 экз.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6,7</w:t>
            </w:r>
          </w:p>
          <w:p w:rsidR="00312D44" w:rsidRPr="002C3DBC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влияния банковского кредитования физических лиц на развитие национальной экономики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Общество, экономика и право – 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статей международной научной конференции (Москва, 1 сессия – 10 апреля 2017 г.) ; под редакцией Т.В. Симонян, Р.Ф. Степаненко. –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Данные (1 файл 3.9 Мб).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РусАльянс</w:t>
            </w:r>
            <w:proofErr w:type="spell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Сова, 2017.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1 электронный оптовый диск (CD-ROM). 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978-5-9909095-2-6.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Заглавие с этикетки диска.</w:t>
            </w:r>
          </w:p>
          <w:p w:rsidR="00312D44" w:rsidRPr="005D78BF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search</w:t>
            </w:r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rsl</w:t>
            </w:r>
            <w:proofErr w:type="spellEnd"/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record</w:t>
            </w:r>
            <w:r w:rsidRPr="005D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/01009678038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16.09.2020) 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регулирование финансового обеспечения коренных народов Севера, Сибири и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Дальнего Востока (монография)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общей редакцией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Р.А. Тория.  –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2017.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240 с.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ISBN</w:t>
            </w:r>
            <w:r w:rsidRPr="002C3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978-5-392-21806-6. </w:t>
            </w:r>
          </w:p>
          <w:p w:rsidR="00312D44" w:rsidRPr="002C3DBC" w:rsidRDefault="00312D44" w:rsidP="00F44B95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Тираж 500 экз.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Influence of the Credit Policy of Commercial Banks on the Modernization of the Russian Economy Structure =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кредитной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политики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коммерческих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экономики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Journal of Reviews on Global Economics. ** – 2018 – Volume 7. – P. 433-441.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 xml:space="preserve">– ISSN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1929-7092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300 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4" w:type="pct"/>
          </w:tcPr>
          <w:tbl>
            <w:tblPr>
              <w:tblW w:w="579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"/>
            </w:tblGrid>
            <w:tr w:rsidR="00312D44" w:rsidRPr="002C3DBC" w:rsidTr="00F44B95">
              <w:trPr>
                <w:trHeight w:val="359"/>
                <w:jc w:val="center"/>
              </w:trPr>
              <w:tc>
                <w:tcPr>
                  <w:tcW w:w="579" w:type="dxa"/>
                  <w:shd w:val="clear" w:color="auto" w:fill="auto"/>
                </w:tcPr>
                <w:p w:rsidR="00312D44" w:rsidRPr="002C3DBC" w:rsidRDefault="00312D44" w:rsidP="00F44B95">
                  <w:pPr>
                    <w:spacing w:after="0" w:line="240" w:lineRule="auto"/>
                    <w:ind w:left="-7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C3DBC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0,81</w:t>
                  </w:r>
                  <w:r w:rsidRPr="002C3D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0,41</w:t>
                  </w:r>
                </w:p>
              </w:tc>
            </w:tr>
          </w:tbl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ind w:left="-14" w:right="-1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Терновская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Interactive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transformation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university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educational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environment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university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network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projects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context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= Интерактивная трансформация университетской образовательной среды в контексте сетевых проектов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1435" w:type="pct"/>
          </w:tcPr>
          <w:p w:rsidR="00312D44" w:rsidRPr="005D71EB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Modern journal of language teaching methods. </w:t>
            </w:r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2018. – № 11. –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838</w:t>
            </w:r>
            <w:proofErr w:type="gramEnd"/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-844.</w:t>
            </w:r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 xml:space="preserve">–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5D71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312D44" w:rsidRPr="002C3DBC" w:rsidRDefault="00312D44" w:rsidP="00F44B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DOI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отсутствует.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C3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https://istina.msu.ru/publications/article/248104163/</w:t>
            </w:r>
          </w:p>
          <w:p w:rsidR="00312D44" w:rsidRPr="002C3DBC" w:rsidRDefault="00312D44" w:rsidP="00F44B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16.09.2020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Web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of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Science</w:t>
            </w:r>
            <w:r w:rsidRPr="002C3D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4" w:type="pct"/>
          </w:tcPr>
          <w:p w:rsidR="00312D44" w:rsidRPr="00250C50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50C5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0,8</w:t>
            </w:r>
          </w:p>
          <w:p w:rsidR="00312D44" w:rsidRPr="002C3DBC" w:rsidRDefault="00312D44" w:rsidP="00F44B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ind w:left="-14" w:right="-1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Balan</w:t>
            </w:r>
            <w:proofErr w:type="spellEnd"/>
          </w:p>
        </w:tc>
      </w:tr>
      <w:tr w:rsidR="00312D44" w:rsidRPr="002C3DBC" w:rsidTr="00F44B95">
        <w:trPr>
          <w:trHeight w:val="274"/>
        </w:trPr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Вопросы защиты малого бизнеса через механизм государственного регулирования развития сетевой розничной торговли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widowControl w:val="0"/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1435" w:type="pct"/>
          </w:tcPr>
          <w:p w:rsidR="00312D44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бизнеса: вопросы экономики и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Тираж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4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экз.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rPr>
          <w:trHeight w:val="1687"/>
        </w:trPr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</w:rPr>
              <w:t>Зарубежный опыт формирования и мониторинга программ развития депрессивных регионов 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Инновации в   менеджменте. 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2019. – № 2 (20). – С. 34-39. </w:t>
            </w:r>
          </w:p>
          <w:p w:rsidR="00312D44" w:rsidRPr="002C3DBC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ISSN 2311-5319.</w:t>
            </w:r>
          </w:p>
          <w:p w:rsidR="00312D44" w:rsidRPr="002C3DBC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 800 экз.</w:t>
            </w:r>
          </w:p>
        </w:tc>
        <w:tc>
          <w:tcPr>
            <w:tcW w:w="424" w:type="pct"/>
          </w:tcPr>
          <w:tbl>
            <w:tblPr>
              <w:tblW w:w="77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</w:tblGrid>
            <w:tr w:rsidR="00312D44" w:rsidRPr="002C3DBC" w:rsidTr="00F44B95">
              <w:trPr>
                <w:trHeight w:val="359"/>
              </w:trPr>
              <w:tc>
                <w:tcPr>
                  <w:tcW w:w="772" w:type="dxa"/>
                  <w:shd w:val="clear" w:color="auto" w:fill="auto"/>
                </w:tcPr>
                <w:p w:rsidR="00312D44" w:rsidRPr="002C3DBC" w:rsidRDefault="00312D44" w:rsidP="00F44B95">
                  <w:pPr>
                    <w:spacing w:after="0" w:line="240" w:lineRule="auto"/>
                    <w:ind w:left="-7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C3DBC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0,75</w:t>
                  </w:r>
                </w:p>
                <w:p w:rsidR="00312D44" w:rsidRPr="002C3DBC" w:rsidRDefault="00312D44" w:rsidP="00F44B95">
                  <w:pPr>
                    <w:spacing w:after="0" w:line="240" w:lineRule="auto"/>
                    <w:ind w:left="-7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C3D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2C3D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312D44" w:rsidRPr="002C3DBC" w:rsidRDefault="00312D44" w:rsidP="00F44B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 Славянов, </w:t>
            </w:r>
          </w:p>
          <w:p w:rsidR="00312D44" w:rsidRPr="002C3DBC" w:rsidRDefault="00312D44" w:rsidP="00F4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Фешина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Депрессивный регион: понятие и механизм оценки устойчивого развития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ЦИТИСЭ. **– 2019. – № 4. – С. 108-119.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2409-7616.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</w:t>
            </w:r>
          </w:p>
          <w:p w:rsidR="00312D44" w:rsidRPr="00294DB5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DOI</w:t>
            </w:r>
            <w:r w:rsidRPr="00294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294DB5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10.15350/ 24097616.2019.4.12</w:t>
              </w:r>
            </w:hyperlink>
            <w:r w:rsidRPr="00294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12D44" w:rsidRPr="006E6C17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Pr="002C3D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E6C1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://</w:t>
              </w:r>
              <w:r w:rsidRPr="002C3D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ma</w:t>
              </w:r>
              <w:r w:rsidRPr="006E6C1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123.</w:t>
              </w:r>
              <w:r w:rsidRPr="002C3D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6C1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/</w:t>
              </w:r>
              <w:r w:rsidRPr="002C3D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6C1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/2019/08/4-</w:t>
              </w:r>
              <w:r w:rsidRPr="002C3D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grebenkina</w:t>
              </w:r>
            </w:hyperlink>
            <w:r w:rsidRPr="006E6C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12D44" w:rsidRPr="002C3DBC" w:rsidRDefault="00312D44" w:rsidP="00F4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(дата обращения: 16.09.2020)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  <w:r w:rsidRPr="002C3DBC">
              <w:rPr>
                <w:rStyle w:val="a6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развитием депрессивного региона на основе механизма взаимодействия федеральной, региональной и муниципальной власти </w:t>
            </w:r>
          </w:p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687" w:type="pct"/>
          </w:tcPr>
          <w:p w:rsidR="00312D44" w:rsidRPr="002C3DBC" w:rsidRDefault="00312D44" w:rsidP="00F44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Финансовая </w:t>
            </w:r>
            <w:proofErr w:type="gramStart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экономика.*</w:t>
            </w:r>
            <w:proofErr w:type="gramEnd"/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2019. – № 8 (часть 4). – С. 344-348.</w:t>
            </w:r>
            <w:r w:rsidRPr="002C3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12D44" w:rsidRPr="002C3DBC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ISSN 2075-7786.</w:t>
            </w:r>
          </w:p>
          <w:p w:rsidR="00312D44" w:rsidRPr="002C3DBC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 800 экз.</w:t>
            </w:r>
          </w:p>
        </w:tc>
        <w:tc>
          <w:tcPr>
            <w:tcW w:w="424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D44" w:rsidRPr="002C3DBC" w:rsidTr="00F44B95">
        <w:tc>
          <w:tcPr>
            <w:tcW w:w="5000" w:type="pct"/>
            <w:gridSpan w:val="6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издания</w:t>
            </w:r>
          </w:p>
        </w:tc>
      </w:tr>
      <w:tr w:rsidR="00312D44" w:rsidRPr="002C3DBC" w:rsidTr="00F44B95">
        <w:tc>
          <w:tcPr>
            <w:tcW w:w="282" w:type="pct"/>
          </w:tcPr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2" w:type="pct"/>
          </w:tcPr>
          <w:p w:rsidR="00312D44" w:rsidRPr="002C3DBC" w:rsidRDefault="00312D44" w:rsidP="00F44B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 xml:space="preserve">Налоги и налоговая система Российской Федерации: Учебник и практикум для академического </w:t>
            </w:r>
            <w:proofErr w:type="spellStart"/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687" w:type="pct"/>
          </w:tcPr>
          <w:p w:rsidR="00312D44" w:rsidRPr="002C3DBC" w:rsidRDefault="00312D44" w:rsidP="00F44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ечатная</w:t>
            </w:r>
          </w:p>
        </w:tc>
        <w:tc>
          <w:tcPr>
            <w:tcW w:w="1435" w:type="pct"/>
          </w:tcPr>
          <w:p w:rsidR="00312D44" w:rsidRPr="002C3DBC" w:rsidRDefault="00312D44" w:rsidP="00F4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 xml:space="preserve">под науч. ред. Л.И. Гончаренко – М.: Издательство </w:t>
            </w:r>
            <w:proofErr w:type="spellStart"/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. – 514 с. – Серия: Бакалавр. Академический курс.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Тираж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2C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экз.</w:t>
            </w:r>
          </w:p>
        </w:tc>
        <w:tc>
          <w:tcPr>
            <w:tcW w:w="424" w:type="pct"/>
          </w:tcPr>
          <w:p w:rsidR="00312D44" w:rsidRPr="00250C50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50C5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28,4</w:t>
            </w:r>
          </w:p>
          <w:p w:rsidR="00312D44" w:rsidRPr="002C3DBC" w:rsidRDefault="00312D44" w:rsidP="00F4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pct"/>
          </w:tcPr>
          <w:p w:rsidR="00312D44" w:rsidRPr="002C3DBC" w:rsidRDefault="00312D44" w:rsidP="00F4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Архипцева Л.М., Артемьев А.А., Вишневская Н.Г., Голубева Л.П., Гончаренко Л.И. и др.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  <w:r w:rsidRPr="00250C50">
              <w:rPr>
                <w:rFonts w:ascii="Times New Roman" w:eastAsia="Times New Roman" w:hAnsi="Times New Roman"/>
                <w:sz w:val="24"/>
                <w:szCs w:val="24"/>
              </w:rPr>
              <w:t>сего 18 чел</w:t>
            </w:r>
          </w:p>
        </w:tc>
      </w:tr>
    </w:tbl>
    <w:p w:rsidR="00312D44" w:rsidRPr="00857C8E" w:rsidRDefault="00312D44" w:rsidP="0031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44" w:rsidRPr="00857C8E" w:rsidRDefault="00312D44" w:rsidP="00312D4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списке приведено _____ публикаций общим объемом ___ </w:t>
      </w:r>
      <w:proofErr w:type="spellStart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п.л</w:t>
      </w:r>
      <w:proofErr w:type="spellEnd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. (авторский объем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proofErr w:type="spellStart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п.л</w:t>
      </w:r>
      <w:proofErr w:type="spellEnd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.),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 </w:t>
      </w:r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работ в международной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цитатно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-аналитической базе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Web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of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Science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 общим объемом __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п.л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. (авторский объем – __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п.л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.), __ работ в международной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цитатно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>-аналитической базе «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Scopus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» общим объемом </w:t>
      </w:r>
      <w:r w:rsidRPr="002C3DBC">
        <w:rPr>
          <w:rFonts w:ascii="Times New Roman" w:eastAsia="MS Mincho" w:hAnsi="Times New Roman"/>
          <w:sz w:val="24"/>
          <w:szCs w:val="24"/>
          <w:u w:val="single"/>
          <w:lang w:eastAsia="ja-JP"/>
        </w:rPr>
        <w:t>__</w:t>
      </w:r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п.л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. (авторский объем – </w:t>
      </w:r>
      <w:r w:rsidRPr="002C3DBC">
        <w:rPr>
          <w:rFonts w:ascii="Times New Roman" w:eastAsia="MS Mincho" w:hAnsi="Times New Roman"/>
          <w:sz w:val="24"/>
          <w:szCs w:val="24"/>
          <w:u w:val="single"/>
          <w:lang w:eastAsia="ja-JP"/>
        </w:rPr>
        <w:t>__</w:t>
      </w:r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2C3DBC">
        <w:rPr>
          <w:rFonts w:ascii="Times New Roman" w:eastAsia="MS Mincho" w:hAnsi="Times New Roman"/>
          <w:sz w:val="24"/>
          <w:szCs w:val="24"/>
          <w:lang w:eastAsia="ja-JP"/>
        </w:rPr>
        <w:t>п.л</w:t>
      </w:r>
      <w:proofErr w:type="spellEnd"/>
      <w:r w:rsidRPr="002C3DBC">
        <w:rPr>
          <w:rFonts w:ascii="Times New Roman" w:eastAsia="MS Mincho" w:hAnsi="Times New Roman"/>
          <w:sz w:val="24"/>
          <w:szCs w:val="24"/>
          <w:lang w:eastAsia="ja-JP"/>
        </w:rPr>
        <w:t xml:space="preserve">.), </w:t>
      </w:r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2C3DB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_ работ общим объемом ____ </w:t>
      </w:r>
      <w:proofErr w:type="spellStart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п.л</w:t>
      </w:r>
      <w:proofErr w:type="spellEnd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. (авторский объем ____ </w:t>
      </w:r>
      <w:proofErr w:type="spellStart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п.л</w:t>
      </w:r>
      <w:proofErr w:type="spellEnd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.) опубликованы в рецензируемых научных изданиях, определенных ВАК при </w:t>
      </w:r>
      <w:proofErr w:type="spellStart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_____ учебных  и учебно-методических работ общим объемом 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п.л</w:t>
      </w:r>
      <w:proofErr w:type="spellEnd"/>
      <w:r w:rsidRPr="002C3D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12D44" w:rsidRPr="00857C8E" w:rsidRDefault="00312D44" w:rsidP="0031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44" w:rsidRPr="00857C8E" w:rsidRDefault="00312D44" w:rsidP="00312D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</w:t>
      </w:r>
      <w:r w:rsidRPr="006E6C17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7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спирант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57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57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И.О. Фамилия</w:t>
      </w:r>
    </w:p>
    <w:p w:rsidR="00312D44" w:rsidRPr="00857C8E" w:rsidRDefault="00312D44" w:rsidP="00312D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D44" w:rsidRPr="00A35336" w:rsidRDefault="00312D44" w:rsidP="00312D44">
      <w:pPr>
        <w:spacing w:after="0" w:line="240" w:lineRule="auto"/>
        <w:ind w:left="-142" w:right="-565" w:firstLine="142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A35336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Примечания:</w:t>
      </w:r>
    </w:p>
    <w:p w:rsidR="00312D44" w:rsidRPr="00A35336" w:rsidRDefault="00312D44" w:rsidP="00312D44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33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Список составляется по разделам в хронологической последовательности </w:t>
      </w:r>
      <w:r w:rsidRPr="00A35336">
        <w:rPr>
          <w:rFonts w:ascii="Times New Roman" w:eastAsia="Times New Roman" w:hAnsi="Times New Roman"/>
          <w:sz w:val="24"/>
          <w:szCs w:val="24"/>
          <w:lang w:eastAsia="ru-RU"/>
        </w:rPr>
        <w:t>публикаций со</w:t>
      </w:r>
      <w:r w:rsidRPr="00A35336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  <w:r w:rsidRPr="00A35336">
        <w:rPr>
          <w:rFonts w:ascii="Times New Roman" w:eastAsia="Times New Roman" w:hAnsi="Times New Roman"/>
          <w:sz w:val="24"/>
          <w:szCs w:val="24"/>
          <w:lang w:eastAsia="ru-RU"/>
        </w:rPr>
        <w:t>сквозной нумерацией</w:t>
      </w:r>
      <w:r w:rsidRPr="00A35336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312D44" w:rsidRDefault="00312D44" w:rsidP="00312D4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12D44" w:rsidRDefault="00312D44" w:rsidP="00312D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12D44" w:rsidSect="00312D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37" w:rsidRDefault="00804A37" w:rsidP="00312D44">
      <w:pPr>
        <w:spacing w:after="0" w:line="240" w:lineRule="auto"/>
      </w:pPr>
      <w:r>
        <w:separator/>
      </w:r>
    </w:p>
  </w:endnote>
  <w:endnote w:type="continuationSeparator" w:id="0">
    <w:p w:rsidR="00804A37" w:rsidRDefault="00804A37" w:rsidP="0031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37" w:rsidRDefault="00804A37" w:rsidP="00312D44">
      <w:pPr>
        <w:spacing w:after="0" w:line="240" w:lineRule="auto"/>
      </w:pPr>
      <w:r>
        <w:separator/>
      </w:r>
    </w:p>
  </w:footnote>
  <w:footnote w:type="continuationSeparator" w:id="0">
    <w:p w:rsidR="00804A37" w:rsidRDefault="00804A37" w:rsidP="00312D44">
      <w:pPr>
        <w:spacing w:after="0" w:line="240" w:lineRule="auto"/>
      </w:pPr>
      <w:r>
        <w:continuationSeparator/>
      </w:r>
    </w:p>
  </w:footnote>
  <w:footnote w:id="1">
    <w:p w:rsidR="00312D44" w:rsidRPr="00161691" w:rsidRDefault="00312D44" w:rsidP="00312D44">
      <w:pPr>
        <w:pStyle w:val="a4"/>
        <w:jc w:val="both"/>
        <w:rPr>
          <w:rFonts w:ascii="Times New Roman" w:hAnsi="Times New Roman"/>
        </w:rPr>
      </w:pPr>
      <w:r w:rsidRPr="00161691">
        <w:rPr>
          <w:rStyle w:val="a6"/>
          <w:rFonts w:ascii="Times New Roman" w:hAnsi="Times New Roman"/>
        </w:rPr>
        <w:footnoteRef/>
      </w:r>
      <w:r w:rsidRPr="00161691">
        <w:rPr>
          <w:rFonts w:ascii="Times New Roman" w:hAnsi="Times New Roman"/>
        </w:rPr>
        <w:t xml:space="preserve"> Могут указываться все научные работы, однако засчитываются только публикации в журналах</w:t>
      </w:r>
      <w:r>
        <w:rPr>
          <w:rFonts w:ascii="Times New Roman" w:hAnsi="Times New Roman"/>
        </w:rPr>
        <w:t>, определенных пп.6 пункта 2.4. Положения.</w:t>
      </w:r>
    </w:p>
  </w:footnote>
  <w:footnote w:id="2">
    <w:p w:rsidR="00312D44" w:rsidRPr="0017065B" w:rsidRDefault="00312D44" w:rsidP="00312D44">
      <w:pPr>
        <w:pStyle w:val="a3"/>
        <w:tabs>
          <w:tab w:val="left" w:pos="141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B19F9">
        <w:rPr>
          <w:rStyle w:val="a6"/>
          <w:color w:val="FFFFFF"/>
        </w:rPr>
        <w:footnoteRef/>
      </w:r>
      <w:r w:rsidRPr="003B19F9">
        <w:rPr>
          <w:color w:val="FFFFFF"/>
        </w:rPr>
        <w:t xml:space="preserve"> </w:t>
      </w:r>
      <w:r w:rsidRPr="0068304D">
        <w:rPr>
          <w:rStyle w:val="a7"/>
          <w:color w:val="FFFFFF"/>
        </w:rPr>
        <w:footnoteRef/>
      </w:r>
      <w:r w:rsidRPr="0017065B">
        <w:rPr>
          <w:rFonts w:ascii="Times New Roman" w:hAnsi="Times New Roman"/>
          <w:sz w:val="20"/>
          <w:szCs w:val="20"/>
        </w:rPr>
        <w:t xml:space="preserve">* Публикация по теме </w:t>
      </w:r>
      <w:r>
        <w:rPr>
          <w:rFonts w:ascii="Times New Roman" w:hAnsi="Times New Roman"/>
          <w:sz w:val="20"/>
          <w:szCs w:val="20"/>
        </w:rPr>
        <w:t>научного исследования</w:t>
      </w:r>
    </w:p>
    <w:p w:rsidR="00312D44" w:rsidRDefault="00312D44" w:rsidP="00312D44">
      <w:pPr>
        <w:pStyle w:val="a4"/>
      </w:pPr>
      <w:r>
        <w:rPr>
          <w:rFonts w:ascii="Times New Roman" w:hAnsi="Times New Roman"/>
        </w:rPr>
        <w:t xml:space="preserve">    </w:t>
      </w:r>
      <w:r w:rsidRPr="0017065B">
        <w:rPr>
          <w:rFonts w:ascii="Times New Roman" w:hAnsi="Times New Roman"/>
        </w:rPr>
        <w:t>** Журнал (издание), входящий в перечень рецензируемых научных изданий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D"/>
    <w:rsid w:val="00294DB5"/>
    <w:rsid w:val="00312D44"/>
    <w:rsid w:val="00804A37"/>
    <w:rsid w:val="008D4C33"/>
    <w:rsid w:val="009F35DD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7890E-68CE-4F44-9DBE-DC216892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4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12D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2D4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rsid w:val="00312D44"/>
    <w:rPr>
      <w:vertAlign w:val="superscript"/>
    </w:rPr>
  </w:style>
  <w:style w:type="character" w:styleId="a7">
    <w:name w:val="endnote reference"/>
    <w:uiPriority w:val="99"/>
    <w:semiHidden/>
    <w:unhideWhenUsed/>
    <w:rsid w:val="00312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123.ru/ru/2019/08/4-grebenk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123.ru/en/2019/08/4-grebenk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572019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Смирнов Денис Александрович</cp:lastModifiedBy>
  <cp:revision>3</cp:revision>
  <dcterms:created xsi:type="dcterms:W3CDTF">2021-05-28T06:30:00Z</dcterms:created>
  <dcterms:modified xsi:type="dcterms:W3CDTF">2021-06-01T14:04:00Z</dcterms:modified>
</cp:coreProperties>
</file>