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(Финансовый университет)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val="ru-RU" w:eastAsia="zh-CN" w:bidi="ar-SA"/>
        </w:rPr>
        <w:t>Кафедра</w:t>
      </w:r>
      <w:r>
        <w:rPr>
          <w:rFonts w:ascii="Times New Roman" w:hAnsi="Times New Roman"/>
          <w:b/>
          <w:bCs/>
          <w:sz w:val="28"/>
          <w:szCs w:val="28"/>
        </w:rPr>
        <w:t xml:space="preserve"> финансовых рынков и финансового инжиниринга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Финансового факультета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735" w:leader="none"/>
        </w:tabs>
        <w:suppressAutoHyphens w:val="true"/>
        <w:bidi w:val="0"/>
        <w:spacing w:lineRule="auto" w:line="240"/>
        <w:ind w:left="10431" w:right="0" w:hanging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УТВЕРЖД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bidi="ar-SA"/>
        </w:rPr>
        <w:t>ЕНО</w:t>
      </w:r>
    </w:p>
    <w:p>
      <w:pPr>
        <w:pStyle w:val="Normal"/>
        <w:widowControl/>
        <w:tabs>
          <w:tab w:val="clear" w:pos="708"/>
          <w:tab w:val="left" w:pos="735" w:leader="none"/>
        </w:tabs>
        <w:suppressAutoHyphens w:val="true"/>
        <w:bidi w:val="0"/>
        <w:spacing w:lineRule="auto" w:line="240"/>
        <w:ind w:left="10431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Протокол заседания Кафедры </w:t>
      </w:r>
    </w:p>
    <w:p>
      <w:pPr>
        <w:pStyle w:val="Normal"/>
        <w:widowControl/>
        <w:tabs>
          <w:tab w:val="clear" w:pos="708"/>
          <w:tab w:val="left" w:pos="735" w:leader="none"/>
        </w:tabs>
        <w:suppressAutoHyphens w:val="true"/>
        <w:bidi w:val="0"/>
        <w:spacing w:lineRule="auto" w:line="240" w:before="0" w:after="0"/>
        <w:ind w:left="10431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zh-CN" w:bidi="ar-SA"/>
        </w:rPr>
        <w:t>29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zh-CN" w:bidi="ar-SA"/>
        </w:rPr>
        <w:t>января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202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zh-CN" w:bidi="ar-SA"/>
        </w:rPr>
        <w:t>5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года №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zh-CN" w:bidi="ar-SA"/>
        </w:rPr>
        <w:t>7</w:t>
      </w:r>
    </w:p>
    <w:p>
      <w:pPr>
        <w:pStyle w:val="Normal"/>
        <w:tabs>
          <w:tab w:val="clear" w:pos="708"/>
          <w:tab w:val="left" w:pos="5670" w:leader="none"/>
          <w:tab w:val="left" w:pos="5954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670" w:leader="none"/>
          <w:tab w:val="left" w:pos="5954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670" w:leader="none"/>
          <w:tab w:val="left" w:pos="5954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Комиссии по проведению второй повторной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промежуточной аттестации обучающихся</w:t>
      </w:r>
    </w:p>
    <w:p>
      <w:pPr>
        <w:pStyle w:val="Normal"/>
        <w:tabs>
          <w:tab w:val="clear" w:pos="708"/>
          <w:tab w:val="left" w:pos="5670" w:leader="none"/>
          <w:tab w:val="left" w:pos="5954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854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noVBand="1" w:val="04a0" w:noHBand="0" w:lastColumn="0" w:firstColumn="1" w:lastRow="0" w:firstRow="1"/>
      </w:tblPr>
      <w:tblGrid>
        <w:gridCol w:w="5433"/>
        <w:gridCol w:w="4152"/>
        <w:gridCol w:w="5269"/>
      </w:tblGrid>
      <w:tr>
        <w:trPr/>
        <w:tc>
          <w:tcPr>
            <w:tcW w:w="5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Состав комиссии 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Даты заседаний*</w:t>
            </w:r>
          </w:p>
        </w:tc>
        <w:tc>
          <w:tcPr>
            <w:tcW w:w="5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Дисциплины</w:t>
            </w:r>
          </w:p>
        </w:tc>
      </w:tr>
      <w:tr>
        <w:trPr/>
        <w:tc>
          <w:tcPr>
            <w:tcW w:w="148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Style26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color w:val="C9211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</w:rPr>
              <w:t>Комиссия №1</w:t>
            </w:r>
          </w:p>
        </w:tc>
      </w:tr>
      <w:tr>
        <w:trPr/>
        <w:tc>
          <w:tcPr>
            <w:tcW w:w="54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Председатель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Л.Е. Хрустова, доцент, заместитель заведующего кафедрой по учебной и учебно-методической работе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Члены комиссии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Н.Е. Анненская,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С.А. Переход, ассистент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И.А. Сударикова,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Е.В. Алтухова,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 Л.Н. Андрианова,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 Т.В. Маняхин,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 Н.Н. Мартыненко,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 А.П. Чигринская, доцент кафедры 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 К.В. Криничанский, профессор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 АК. Афанасьев, профессор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 Б.Б. Рубцов, профессор кафедры</w:t>
            </w:r>
            <w:bookmarkStart w:id="0" w:name="_GoBack"/>
            <w:bookmarkEnd w:id="0"/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21</w:t>
            </w:r>
            <w:r>
              <w:rPr>
                <w:rFonts w:ascii="Times New Roman" w:hAnsi="Times New Roman"/>
                <w:sz w:val="26"/>
                <w:szCs w:val="26"/>
              </w:rPr>
              <w:t>.02.2025 17: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0-18:50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.02.2025 17: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0-18:50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7.03.2025 17: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0-18:50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1.03.2025 17: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0-18:50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04</w:t>
            </w:r>
            <w:r>
              <w:rPr>
                <w:rFonts w:ascii="Times New Roman" w:hAnsi="Times New Roman"/>
                <w:sz w:val="26"/>
                <w:szCs w:val="26"/>
              </w:rPr>
              <w:t>.04.2025 17: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0-18:50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8.04.2025 17: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0-18:50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12.05.2025 17: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0-18:50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26.05.2025 17: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0-18:50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.06.2025 17: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0-18:50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Style26"/>
              <w:widowControl w:val="false"/>
              <w:spacing w:before="0" w:after="1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5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Анализ валютного рынка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рынка ценных бумаг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Анализ финансовых рынков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Биржевая торговля и биржевые инструменты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Биржевой рынок и биржевые инструменты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Зарубежные финансовые рынки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Методология анализа финансовых рынков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Рынок ценных бумаг и биржевое дело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Рынок ценных бумаг и фондовая биржа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6"/>
                <w:szCs w:val="26"/>
              </w:rPr>
              <w:t xml:space="preserve">Рынок цифровых финансовых активов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6"/>
                <w:szCs w:val="26"/>
              </w:rPr>
              <w:t>Современные финансовые рынки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6"/>
                <w:szCs w:val="26"/>
              </w:rPr>
              <w:t>Финансовые рынки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Финансовый мониторинг и противодействие недобросовестным практикам на финансовом рынке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Научно-исследовательский семинар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Учебно-научный семинар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Д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енежный рынок в системе финансовых рынков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Денежный рынок и рынок капитала в системе финансовых рынков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Инфраструктура финансовых рынков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Кризисы на финансовых рынках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Операции РЕПО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Организация деятельности Московской биржи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  <w:tab w:val="left" w:pos="450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Организация торговли на Московской бирже</w:t>
            </w:r>
          </w:p>
        </w:tc>
      </w:tr>
      <w:tr>
        <w:trPr/>
        <w:tc>
          <w:tcPr>
            <w:tcW w:w="148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Style26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</w:rPr>
              <w:t>Комиссия №2</w:t>
            </w:r>
          </w:p>
        </w:tc>
      </w:tr>
      <w:tr>
        <w:trPr/>
        <w:tc>
          <w:tcPr>
            <w:tcW w:w="54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Председатель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Л.Е. Хрустова, доцент, заместитель заведующего кафедрой по учебной и учебно-методической работе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Члены комиссии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 Р.Х. Хасанов,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 М.Ю. Маковецкий,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 П.В. Арронет, ассистент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 А.В. Макеев, старший преподаватель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 Е.И. Куликова,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 Ж.Н. Тропина, доцент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 С.А. Панова, профессор кафедры</w:t>
            </w:r>
          </w:p>
          <w:p>
            <w:pPr>
              <w:pStyle w:val="Style26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19.02.2025 17: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0-18:50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26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.02.2025 17: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0-18:50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04.03.2025 17: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0-18:50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18.03.2025 17: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0-18:50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09.04.2025 17: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0-18:50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23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.04.2025 17: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0-18:50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14.05.2025 17: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0-18:50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8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.05.2025 17: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0-18:50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05.06.2025 17: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0-18:50</w:t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6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Style26"/>
              <w:widowControl w:val="false"/>
              <w:spacing w:before="0" w:after="16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52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Производные финансовые инструменты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Производные финансовые инструменты в риск-менеджменте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Производные финансовые инструменты: анализ рынка, хеджирование и арбитраж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Производные финансовые инструменты: хеджирование и арбитраж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Финансовые технологии и финансовый инжиниринг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Финансовые технологии на финансовых рынках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Финансовый инжиниринг: продукты, технологии, стратегии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ind w:left="0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Информационно-аналитические системы на финансовом рынке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Информационно-аналитические системы на финансовых рынках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Основы трейдинга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ind w:left="0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Практикум работы с информационно-аналитическими системами на финансовом рынке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Практикум по анализу финансового рынка с использованием российских торговых платформ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Технический анализ финансовых рынков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Управление инвестициями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ind w:left="0" w:hang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 портфелем в информационно-аналитических системах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Управление портфелем и портфельные риски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Управление портфелем финансовых активов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Фундаментальный анализ на финансовом рынке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45" w:leader="none"/>
                <w:tab w:val="left" w:pos="993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Фундаментальный и технический анализ на финансовом рынке</w:t>
            </w:r>
          </w:p>
        </w:tc>
      </w:tr>
    </w:tbl>
    <w:p>
      <w:pPr>
        <w:pStyle w:val="Normal"/>
        <w:tabs>
          <w:tab w:val="clear" w:pos="708"/>
          <w:tab w:val="left" w:pos="5670" w:leader="none"/>
          <w:tab w:val="left" w:pos="5954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70" w:leader="none"/>
          <w:tab w:val="left" w:pos="5954" w:leader="none"/>
        </w:tabs>
        <w:spacing w:lineRule="auto" w:line="240" w:before="0" w:after="0"/>
        <w:jc w:val="both"/>
        <w:rPr>
          <w:rFonts w:eastAsia="Calibri" w:eastAsiaTheme="minorHAnsi"/>
          <w:kern w:val="0"/>
          <w:lang w:val="ru-RU" w:eastAsia="en-US" w:bidi="ar-SA"/>
        </w:rPr>
      </w:pPr>
      <w:r>
        <w:rPr>
          <w:rFonts w:eastAsia="Calibri" w:eastAsiaTheme="minorHAnsi"/>
          <w:kern w:val="0"/>
          <w:lang w:val="ru-RU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850" w:header="708" w:top="993" w:footer="568" w:bottom="1173" w:gutter="0"/>
      <w:pgNumType w:start="103"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5670" w:leader="none"/>
        <w:tab w:val="left" w:pos="5954" w:leader="none"/>
      </w:tabs>
      <w:spacing w:lineRule="auto" w:line="240" w:before="0" w:after="0"/>
      <w:jc w:val="both"/>
      <w:rPr>
        <w:rFonts w:ascii="Times New Roman" w:hAnsi="Times New Roman" w:cs="Times New Roman"/>
        <w:b w:val="false"/>
        <w:b w:val="false"/>
        <w:bCs w:val="false"/>
        <w:color w:val="000000"/>
        <w:sz w:val="28"/>
        <w:szCs w:val="28"/>
      </w:rPr>
    </w:pPr>
    <w:r>
      <w:rPr>
        <w:rFonts w:eastAsia="Calibri" w:cs="Times New Roman" w:ascii="Times New Roman" w:hAnsi="Times New Roman" w:eastAsiaTheme="minorHAnsi"/>
        <w:b w:val="false"/>
        <w:bCs w:val="false"/>
        <w:color w:val="000000"/>
        <w:kern w:val="0"/>
        <w:sz w:val="28"/>
        <w:szCs w:val="28"/>
        <w:lang w:val="ru-RU" w:eastAsia="en-US" w:bidi="ar-SA"/>
      </w:rPr>
      <w:t>*</w:t>
    </w:r>
    <w:r>
      <w:rPr>
        <w:rFonts w:eastAsia="Calibri" w:cs="Times New Roman" w:ascii="Times New Roman" w:hAnsi="Times New Roman" w:eastAsiaTheme="minorHAnsi"/>
        <w:b w:val="false"/>
        <w:bCs w:val="false"/>
        <w:color w:val="000000"/>
        <w:kern w:val="0"/>
        <w:sz w:val="24"/>
        <w:szCs w:val="24"/>
        <w:lang w:val="ru-RU" w:eastAsia="en-US" w:bidi="ar-SA"/>
      </w:rPr>
      <w:t>Аудиторный фонд будет формироваться при наличии обучающихся, имеющих академические задолженности</w:t>
    </w:r>
    <w:r>
      <w:rPr>
        <w:rFonts w:eastAsia="Calibri" w:cs="Times New Roman" w:ascii="Times New Roman" w:hAnsi="Times New Roman"/>
        <w:b w:val="false"/>
        <w:bCs w:val="false"/>
        <w:color w:val="000000"/>
        <w:kern w:val="0"/>
        <w:sz w:val="28"/>
        <w:szCs w:val="28"/>
        <w:lang w:val="ru-RU" w:eastAsia="en-US" w:bidi="ar-SA"/>
      </w:rPr>
      <w:t xml:space="preserve">. </w:t>
    </w:r>
    <w:r>
      <w:rPr>
        <w:rFonts w:eastAsia="Calibri" w:cs="Times New Roman" w:ascii="Times New Roman" w:hAnsi="Times New Roman" w:eastAsiaTheme="minorHAnsi"/>
        <w:b w:val="false"/>
        <w:bCs w:val="false"/>
        <w:color w:val="auto"/>
        <w:kern w:val="0"/>
        <w:sz w:val="24"/>
        <w:szCs w:val="24"/>
        <w:lang w:val="ru-RU" w:eastAsia="en-US" w:bidi="ar-SA"/>
      </w:rPr>
      <w:t>Адрес заседаний: Малый Златоустинский пер., д. 7, стр. 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40958808"/>
    </w:sdtPr>
    <w:sdtContent>
      <w:p>
        <w:pPr>
          <w:pStyle w:val="Style24"/>
          <w:jc w:val="center"/>
          <w:rPr/>
        </w:pPr>
        <w:r>
          <w:rPr/>
        </w:r>
      </w:p>
    </w:sdtContent>
  </w:sdt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e0bfe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2b236e"/>
    <w:rPr/>
  </w:style>
  <w:style w:type="character" w:styleId="Style15" w:customStyle="1">
    <w:name w:val="Нижний колонтитул Знак"/>
    <w:basedOn w:val="DefaultParagraphFont"/>
    <w:uiPriority w:val="99"/>
    <w:qFormat/>
    <w:rsid w:val="002b236e"/>
    <w:rPr/>
  </w:style>
  <w:style w:type="character" w:styleId="Style16" w:customStyle="1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ae0bfe"/>
    <w:pPr>
      <w:spacing w:before="0" w:after="160"/>
      <w:ind w:left="720" w:hanging="0"/>
      <w:contextualSpacing/>
    </w:pPr>
    <w:rPr/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2b236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rsid w:val="002b236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 w:customStyle="1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Application>LibreOffice/7.0.6.2$Linux_X86_64 LibreOffice_project/00$Build-2</Application>
  <AppVersion>15.0000</AppVersion>
  <Pages>3</Pages>
  <Words>459</Words>
  <Characters>3337</Characters>
  <CharactersWithSpaces>3671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2021-07-06T08:20:00Z</dcterms:created>
  <dc:creator>Шилова Анна Николаевна</dc:creator>
  <dc:description/>
  <dc:language>ru-RU</dc:language>
  <cp:lastModifiedBy/>
  <dcterms:modified xsi:type="dcterms:W3CDTF">2025-03-20T12:26:48Z</dcterms:modified>
  <cp:revision>113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