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Информационно-аналитические системы на финансовых рынках»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 xml:space="preserve"> </w:t>
      </w:r>
    </w:p>
    <w:p>
      <w:pPr>
        <w:pStyle w:val="Style22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  <w:lang w:val="it-IT"/>
        </w:rPr>
        <w:t xml:space="preserve">для </w:t>
      </w: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направления подготовки 38.03.01 «Экономика», бакалавриат</w:t>
      </w:r>
    </w:p>
    <w:p>
      <w:pPr>
        <w:pStyle w:val="Style22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Style w:val="TableNormal"/>
        <w:tblW w:w="946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4"/>
        <w:gridCol w:w="7166"/>
        <w:gridCol w:w="1635"/>
      </w:tblGrid>
      <w:tr>
        <w:trPr>
          <w:trHeight w:val="6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ru-RU" w:eastAsia="zh-CN" w:bidi="hi-IN"/>
              </w:rPr>
              <w:t>п/п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ru-RU" w:eastAsia="zh-CN" w:bidi="hi-IN"/>
              </w:rPr>
              <w:t>Критерии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ru-RU" w:eastAsia="zh-CN" w:bidi="hi-IN"/>
              </w:rPr>
              <w:t>Баллы</w:t>
            </w:r>
          </w:p>
        </w:tc>
      </w:tr>
      <w:tr>
        <w:trPr>
          <w:trHeight w:val="4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Посещаемость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До 4 баллов</w:t>
            </w:r>
          </w:p>
        </w:tc>
      </w:tr>
      <w:tr>
        <w:trPr>
          <w:trHeight w:val="95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 xml:space="preserve">Работа на занятиях (лекциях и семинарах), 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из них: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 xml:space="preserve">1. Активное участие в опросах и дискуссиях по итогам лекций </w:t>
            </w:r>
          </w:p>
          <w:p>
            <w:pPr>
              <w:pStyle w:val="Style22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2. Участие в семинарских занятиях (выполнение поисково-аналитических заданий, решение задач, составление аналитических справок и др.)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28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8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20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Контрольная работа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eastAsia="zh-CN" w:bidi="hi-IN"/>
              </w:rPr>
              <w:t>8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kern w:val="0"/>
                <w:lang w:val="ru-RU"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Итого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kern w:val="0"/>
                <w:lang w:val="ru-RU"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Зачет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kern w:val="0"/>
                <w:lang w:val="ru-RU"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Всего за семестр: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100 баллов</w:t>
            </w:r>
          </w:p>
        </w:tc>
      </w:tr>
    </w:tbl>
    <w:p>
      <w:pPr>
        <w:pStyle w:val="Style22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p>
      <w:pPr>
        <w:pStyle w:val="Normal"/>
        <w:ind w:left="113"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Промежуточный контроль проводится в форме </w:t>
      </w:r>
      <w:r>
        <w:rPr>
          <w:rFonts w:cs="Times New Roman" w:ascii="Times New Roman" w:hAnsi="Times New Roman"/>
          <w:b/>
          <w:bCs/>
          <w:sz w:val="26"/>
          <w:szCs w:val="26"/>
        </w:rPr>
        <w:t>зачета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widowControl w:val="false"/>
        <w:spacing w:lineRule="auto" w:line="240" w:before="0" w:after="160"/>
        <w:ind w:left="113"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Зачет</w:t>
      </w:r>
      <w:r>
        <w:rPr>
          <w:rFonts w:cs="Times New Roman" w:ascii="Times New Roman" w:hAnsi="Times New Roman"/>
          <w:sz w:val="26"/>
          <w:szCs w:val="26"/>
        </w:rPr>
        <w:t xml:space="preserve"> проводится по завершении изучения дисциплины в компьютерном классе. </w:t>
      </w:r>
    </w:p>
    <w:sectPr>
      <w:footerReference w:type="default" r:id="rId2"/>
      <w:type w:val="nextPage"/>
      <w:pgSz w:w="11906" w:h="16838"/>
      <w:pgMar w:left="1701" w:right="567" w:header="0" w:top="1134" w:footer="1134" w:bottom="15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u w:val="single" w:color="FFFFFF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Колонтитулы"/>
    <w:qFormat/>
    <w:pPr>
      <w:widowControl/>
      <w:tabs>
        <w:tab w:val="clear" w:pos="708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2" w:customStyle="1">
    <w:name w:val="По умолчанию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Style23"/>
    <w:pPr/>
    <w:rPr/>
  </w:style>
  <w:style w:type="paragraph" w:styleId="Style25">
    <w:name w:val="Footer"/>
    <w:basedOn w:val="Style23"/>
    <w:pPr/>
    <w:rPr/>
  </w:style>
  <w:style w:type="paragraph" w:styleId="Style26" w:customStyle="1">
    <w:name w:val="Содержимое таблицы"/>
    <w:basedOn w:val="Normal"/>
    <w:qFormat/>
    <w:pPr/>
    <w:rPr/>
  </w:style>
  <w:style w:type="paragraph" w:styleId="Style27" w:customStyle="1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  <Pages>1</Pages>
  <Words>100</Words>
  <Characters>622</Characters>
  <CharactersWithSpaces>700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2026-02-05T08:28:00Z</dcterms:created>
  <dc:creator>A B</dc:creator>
  <dc:description/>
  <dc:language>ru-RU</dc:language>
  <cp:lastModifiedBy/>
  <dcterms:modified xsi:type="dcterms:W3CDTF">2026-02-24T16:07:07Z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