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«Международный рынок капиталов (на английском языке)»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</w:t>
        <w:br/>
        <w:t>38.04.01 «Экономика», направленность программы магистратуры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«Ценные бумаги и финансовый инжиниринг»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566"/>
        <w:gridCol w:w="7654"/>
        <w:gridCol w:w="1875"/>
      </w:tblGrid>
      <w:tr>
        <w:trPr>
          <w:trHeight w:val="6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22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занятиях: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2. Представление результатов самостоятельной работы </w:t>
              <w:br/>
              <w:t>(выполнение аналитических заданий)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26 баллов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18 баллов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8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8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2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200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>
    <w:name w:val="Body Text Indent"/>
    <w:basedOn w:val="Style16"/>
    <w:pPr/>
    <w:rPr/>
  </w:style>
  <w:style w:type="paragraph" w:styleId="Style27" w:customStyle="1">
    <w:name w:val="Содержимое таблицы"/>
    <w:basedOn w:val="Normal"/>
    <w:qFormat/>
    <w:rsid w:val="00c968a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77</Words>
  <Characters>478</Characters>
  <CharactersWithSpaces>534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2025-09-01T09:19:00Z</dcterms:created>
  <dc:creator>Федорова Мария Львовна</dc:creator>
  <dc:description/>
  <dc:language>ru-RU</dc:language>
  <cp:lastModifiedBy/>
  <dcterms:modified xsi:type="dcterms:W3CDTF">2025-09-01T12:34:31Z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