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F1" w:rsidRDefault="002C5E05" w:rsidP="001C75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5C9A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контрольно-ревизионной деятельности органов государственного (муниципального) финансового контроля</w:t>
      </w:r>
    </w:p>
    <w:p w:rsidR="002C5E05" w:rsidRDefault="002C5E05" w:rsidP="001C75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1. Бюджетное законодательство и принципы законодательной деятельности. Организация бюджетного процесса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2  Проведение контрольно-счётными органами экспертизы проектов законов и госпрограмм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3. Оценка реализуемости, рисков и результатов достижения целей социально-экономического развития субъекта РФ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4. Проверка целевого использования субсидий, субвенций и иных межбюджетных трансфертов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5. Полномочия должностных лиц контрольно-счётных органов по составлению протоколов об административных правонарушениях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6. Национальные проекты, механизм достижения национальных целей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Тема 7. Проведение аудита в сфере закупок. Мониторинг, контроль, аудит и защита прав и интересов участников </w:t>
      </w:r>
      <w:bookmarkStart w:id="0" w:name="_GoBack"/>
      <w:bookmarkEnd w:id="0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закупок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8. Как писать отчеты понятным языком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Тема 9. Основы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импортозамещения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, переход на отечественное программное обеспечение. Особенности взаимодействия с LINUX-подобными системами. Интерфейс </w:t>
      </w:r>
      <w:proofErr w:type="gram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РЕД</w:t>
      </w:r>
      <w:proofErr w:type="gram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 ОС 8. Основные отличия кроссплатформенных пакетов от пакета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Microsoft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Office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 на примере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LibreOffice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,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МойОфис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 и Р7-Офис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Тема10. Создание документов. Применение специальных возможностей при создании документов: автоматическое создание оглавления и указателей, использование стилей, специально форматирование страниц, работа со ссылками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11. Создание электронных таблиц. Ввод данных. Оформление электронных таблиц. Работа с формулами и функциями. Сортировка и фильтрация данных. Применение сводных таблиц. Диаграммы и другие средства наглядного представления информации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Тема 12. Создание презентаций. Основные сходства и отличия от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Microsoft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 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PowerPoint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. Автоматизация при создании презентаций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Тема13. Практика применения подсистемы информационно-аналитического обеспечения (ПИАО) ГИИС управления общественными финансами «Электронный бюджет».  Общая информация, подключение к подсистеме, построение отчетности (работа с панелями)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14. Практика применения программных решений компании «</w:t>
      </w:r>
      <w:proofErr w:type="spellStart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Кейсистемс</w:t>
      </w:r>
      <w:proofErr w:type="spellEnd"/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 xml:space="preserve">» </w:t>
      </w:r>
    </w:p>
    <w:p w:rsidR="002C5E05" w:rsidRPr="002C5E05" w:rsidRDefault="002C5E05" w:rsidP="002C5E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</w:pPr>
      <w:r w:rsidRPr="002C5E05">
        <w:rPr>
          <w:rFonts w:ascii="Times New Roman" w:eastAsia="Times New Roman" w:hAnsi="Times New Roman" w:cs="Times New Roman"/>
          <w:color w:val="121314"/>
          <w:sz w:val="24"/>
          <w:szCs w:val="24"/>
          <w:lang w:eastAsia="ru-RU"/>
        </w:rPr>
        <w:t>Тема 15. Практика применения системы автоматизированного документооборота Калужской области «САДКО-3.0». Использование электронной подписи в «САДКО-3.0».</w:t>
      </w:r>
    </w:p>
    <w:p w:rsidR="00BB629A" w:rsidRPr="001C75F1" w:rsidRDefault="00BB629A" w:rsidP="002C5E05">
      <w:pPr>
        <w:spacing w:after="0" w:line="240" w:lineRule="auto"/>
        <w:jc w:val="center"/>
      </w:pPr>
    </w:p>
    <w:sectPr w:rsidR="00BB629A" w:rsidRPr="001C75F1" w:rsidSect="002657C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714D8"/>
    <w:multiLevelType w:val="multilevel"/>
    <w:tmpl w:val="C75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6215C"/>
    <w:multiLevelType w:val="multilevel"/>
    <w:tmpl w:val="E8A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F1"/>
    <w:rsid w:val="001C75F1"/>
    <w:rsid w:val="002C5E05"/>
    <w:rsid w:val="005155B1"/>
    <w:rsid w:val="008F09E2"/>
    <w:rsid w:val="00905AEE"/>
    <w:rsid w:val="00A546BE"/>
    <w:rsid w:val="00B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5F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1C7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1C75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3"/>
    <w:locked/>
    <w:rsid w:val="001C75F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1C75F1"/>
    <w:pPr>
      <w:widowControl w:val="0"/>
      <w:shd w:val="clear" w:color="auto" w:fill="FFFFFF"/>
      <w:spacing w:after="0" w:line="274" w:lineRule="exact"/>
      <w:ind w:hanging="5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semiHidden/>
    <w:unhideWhenUsed/>
    <w:rsid w:val="002C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2025-02-21T12:05:00Z</dcterms:created>
  <dcterms:modified xsi:type="dcterms:W3CDTF">2025-11-13T14:23:00Z</dcterms:modified>
</cp:coreProperties>
</file>