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46ED8" w14:textId="4AAA0BAC" w:rsidR="00FD4EAE" w:rsidRPr="00FD4EAE" w:rsidRDefault="00FD4EAE" w:rsidP="00FD4EAE">
      <w:pPr>
        <w:rPr>
          <w:b/>
          <w:bCs/>
          <w:lang w:eastAsia="ru-RU"/>
        </w:rPr>
      </w:pPr>
      <w:r w:rsidRPr="00FD4EAE">
        <w:rPr>
          <w:b/>
          <w:bCs/>
          <w:lang w:eastAsia="ru-RU"/>
        </w:rPr>
        <w:t>Профиль «Финансы и банковское дело»</w:t>
      </w:r>
    </w:p>
    <w:p w14:paraId="2E066899" w14:textId="3FA8EEF8" w:rsidR="00EF7B8A" w:rsidRPr="00EF7B8A" w:rsidRDefault="00EF7B8A" w:rsidP="00EF7B8A">
      <w:pPr>
        <w:numPr>
          <w:ilvl w:val="0"/>
          <w:numId w:val="1"/>
        </w:numPr>
        <w:spacing w:line="276" w:lineRule="auto"/>
        <w:ind w:left="0" w:firstLine="0"/>
        <w:jc w:val="left"/>
      </w:pPr>
      <w:r w:rsidRPr="00EF7B8A">
        <w:t>Формирование и управление портфелями ценных бумаг в коммерческом банке (на примере…)</w:t>
      </w:r>
    </w:p>
    <w:p w14:paraId="46E77A97" w14:textId="77777777" w:rsidR="00EF7B8A" w:rsidRPr="00EF7B8A" w:rsidRDefault="00EF7B8A" w:rsidP="00EF7B8A">
      <w:pPr>
        <w:numPr>
          <w:ilvl w:val="0"/>
          <w:numId w:val="1"/>
        </w:numPr>
        <w:spacing w:line="276" w:lineRule="auto"/>
        <w:ind w:left="0" w:firstLine="0"/>
        <w:jc w:val="left"/>
      </w:pPr>
      <w:r w:rsidRPr="00EF7B8A">
        <w:t>Современные тренды развития операций российских банков на рынке ценных бумаг (на примере…)</w:t>
      </w:r>
    </w:p>
    <w:p w14:paraId="3956D7DC" w14:textId="77777777" w:rsidR="00EF7B8A" w:rsidRPr="00EF7B8A" w:rsidRDefault="00EF7B8A" w:rsidP="00EF7B8A">
      <w:pPr>
        <w:numPr>
          <w:ilvl w:val="0"/>
          <w:numId w:val="1"/>
        </w:numPr>
        <w:spacing w:line="276" w:lineRule="auto"/>
        <w:ind w:left="0" w:firstLine="0"/>
        <w:jc w:val="left"/>
      </w:pPr>
      <w:r w:rsidRPr="00EF7B8A">
        <w:t>Маркетплейсы на финансовых рынках: предпосылки создания, продукты, архитектура (на конкретных примерах).</w:t>
      </w:r>
    </w:p>
    <w:p w14:paraId="53A3E711" w14:textId="77777777" w:rsidR="00EF7B8A" w:rsidRPr="00EF7B8A" w:rsidRDefault="00EF7B8A" w:rsidP="00EF7B8A">
      <w:pPr>
        <w:numPr>
          <w:ilvl w:val="0"/>
          <w:numId w:val="1"/>
        </w:numPr>
        <w:spacing w:line="276" w:lineRule="auto"/>
        <w:ind w:left="0" w:firstLine="0"/>
        <w:jc w:val="left"/>
      </w:pPr>
      <w:r w:rsidRPr="00EF7B8A">
        <w:t>Проблемы выхода российских банков на рынок ценных бумаг (на конкретном примере).</w:t>
      </w:r>
    </w:p>
    <w:p w14:paraId="51E45057" w14:textId="77777777" w:rsidR="00EF7B8A" w:rsidRPr="00EF7B8A" w:rsidRDefault="00EF7B8A" w:rsidP="00EF7B8A">
      <w:pPr>
        <w:numPr>
          <w:ilvl w:val="0"/>
          <w:numId w:val="1"/>
        </w:numPr>
        <w:spacing w:line="276" w:lineRule="auto"/>
        <w:ind w:left="0" w:firstLine="0"/>
        <w:jc w:val="left"/>
      </w:pPr>
      <w:r w:rsidRPr="00EF7B8A">
        <w:t>Развитие бизнес-модели инвестиционного банка: обзор и анализ (с использованием конкретных примеров из российской и зарубежной практики).</w:t>
      </w:r>
    </w:p>
    <w:p w14:paraId="3EEAF94A" w14:textId="77777777" w:rsidR="00EF7B8A" w:rsidRPr="00EF7B8A" w:rsidRDefault="00EF7B8A" w:rsidP="00EF7B8A">
      <w:pPr>
        <w:numPr>
          <w:ilvl w:val="0"/>
          <w:numId w:val="1"/>
        </w:numPr>
        <w:spacing w:line="276" w:lineRule="auto"/>
        <w:ind w:left="0" w:firstLine="0"/>
        <w:jc w:val="left"/>
      </w:pPr>
      <w:r w:rsidRPr="00EF7B8A">
        <w:t>Деятельность рейтинговых агентств в России: проблемы и перспективы развития (на конкретном примере).</w:t>
      </w:r>
    </w:p>
    <w:p w14:paraId="5CA0E1A1" w14:textId="77777777" w:rsidR="00EF7B8A" w:rsidRDefault="00EF7B8A" w:rsidP="00EF7B8A">
      <w:pPr>
        <w:spacing w:line="276" w:lineRule="auto"/>
        <w:jc w:val="left"/>
      </w:pPr>
      <w:r w:rsidRPr="00EF7B8A">
        <w:t>7. Экономические и организационные основы функционирования лизинговых компаний: российская практика и зарубежный опыт.</w:t>
      </w:r>
    </w:p>
    <w:p w14:paraId="58E02BD6" w14:textId="77777777" w:rsidR="00EF7B8A" w:rsidRDefault="00EF7B8A" w:rsidP="00EF7B8A">
      <w:pPr>
        <w:spacing w:line="276" w:lineRule="auto"/>
        <w:jc w:val="left"/>
      </w:pPr>
      <w:r w:rsidRPr="00EF7B8A">
        <w:t>8. Развитие лизинговой деятельности как направление финансовой поддержки предприятий реального сектора экономики (на конкретном примере).</w:t>
      </w:r>
    </w:p>
    <w:p w14:paraId="02288707" w14:textId="77777777" w:rsidR="00EF7B8A" w:rsidRDefault="00EF7B8A" w:rsidP="00EF7B8A">
      <w:pPr>
        <w:spacing w:line="276" w:lineRule="auto"/>
        <w:jc w:val="left"/>
      </w:pPr>
      <w:r w:rsidRPr="00EF7B8A">
        <w:t>9. Проблемы и перспективы развития микрофинансовых организаций в России (на конкретном примере).</w:t>
      </w:r>
    </w:p>
    <w:p w14:paraId="576A63FF" w14:textId="2AFE8B08" w:rsidR="00EF7B8A" w:rsidRPr="00EF7B8A" w:rsidRDefault="00EF7B8A" w:rsidP="00EF7B8A">
      <w:pPr>
        <w:spacing w:line="276" w:lineRule="auto"/>
        <w:jc w:val="left"/>
      </w:pPr>
      <w:r w:rsidRPr="00EF7B8A">
        <w:t>10. Развитие институтов банковской инфраструктуры в условиях цифровизации (на конкретном примере).</w:t>
      </w:r>
    </w:p>
    <w:p w14:paraId="02C2AE12" w14:textId="77777777" w:rsidR="00EF7B8A" w:rsidRDefault="00EF7B8A" w:rsidP="00EF7B8A">
      <w:pPr>
        <w:spacing w:line="276" w:lineRule="auto"/>
        <w:jc w:val="left"/>
      </w:pPr>
      <w:r w:rsidRPr="00EF7B8A">
        <w:t>11. ESG-банкинг: понятие и особенности в России (на примере коммерческого банка).</w:t>
      </w:r>
    </w:p>
    <w:p w14:paraId="718FC650" w14:textId="77777777" w:rsidR="00EF7B8A" w:rsidRDefault="00EF7B8A" w:rsidP="00EF7B8A">
      <w:pPr>
        <w:spacing w:line="276" w:lineRule="auto"/>
        <w:jc w:val="left"/>
      </w:pPr>
      <w:r w:rsidRPr="00EF7B8A">
        <w:t>12. Проблемы и перспективы функционирования социально ориентированных банков (на примере коммерческого банка).</w:t>
      </w:r>
    </w:p>
    <w:p w14:paraId="2F9E60F1" w14:textId="77777777" w:rsidR="00EF7B8A" w:rsidRDefault="00EF7B8A" w:rsidP="00EF7B8A">
      <w:pPr>
        <w:spacing w:line="276" w:lineRule="auto"/>
        <w:jc w:val="left"/>
      </w:pPr>
      <w:r w:rsidRPr="00EF7B8A">
        <w:t>13. Участие коммерческих банков в социально значимых программах, софинансируемых государством.</w:t>
      </w:r>
    </w:p>
    <w:p w14:paraId="278B1EDB" w14:textId="33B7DCCD" w:rsidR="00EF7B8A" w:rsidRPr="00EF7B8A" w:rsidRDefault="00EF7B8A" w:rsidP="00EF7B8A">
      <w:pPr>
        <w:spacing w:line="276" w:lineRule="auto"/>
        <w:jc w:val="left"/>
      </w:pPr>
      <w:r w:rsidRPr="00EF7B8A">
        <w:t>14. Учет факторов ESG при оценке имущества для целей залога (на примере коммерческого банка).</w:t>
      </w:r>
    </w:p>
    <w:p w14:paraId="2E64A48C" w14:textId="77777777" w:rsidR="00EF7B8A" w:rsidRDefault="00EF7B8A" w:rsidP="00EF7B8A">
      <w:pPr>
        <w:spacing w:line="276" w:lineRule="auto"/>
        <w:jc w:val="left"/>
      </w:pPr>
      <w:r w:rsidRPr="00EF7B8A">
        <w:t>15. Кредитование промышленности в российской банковской практике: анализ современного состояния и направления развития (на примере…).</w:t>
      </w:r>
    </w:p>
    <w:p w14:paraId="1141D55E" w14:textId="77777777" w:rsidR="00EF7B8A" w:rsidRDefault="00EF7B8A" w:rsidP="00EF7B8A">
      <w:pPr>
        <w:spacing w:line="276" w:lineRule="auto"/>
        <w:jc w:val="left"/>
      </w:pPr>
      <w:r w:rsidRPr="00EF7B8A">
        <w:t>16. Особенности организации долгосрочного инвестиционного кредитования в банках (на примере…).</w:t>
      </w:r>
    </w:p>
    <w:p w14:paraId="00B82184" w14:textId="77777777" w:rsidR="00EF7B8A" w:rsidRDefault="00EF7B8A" w:rsidP="00EF7B8A">
      <w:pPr>
        <w:spacing w:line="276" w:lineRule="auto"/>
        <w:jc w:val="left"/>
      </w:pPr>
      <w:r w:rsidRPr="00EF7B8A">
        <w:t>17. Проектное финансирование как направление банковской деятельности в России.</w:t>
      </w:r>
    </w:p>
    <w:p w14:paraId="66DBD3FD" w14:textId="77777777" w:rsidR="00EF7B8A" w:rsidRDefault="00EF7B8A" w:rsidP="00EF7B8A">
      <w:pPr>
        <w:spacing w:line="276" w:lineRule="auto"/>
        <w:jc w:val="left"/>
      </w:pPr>
      <w:r w:rsidRPr="00EF7B8A">
        <w:t>18. Банковское кредитование под залог нематериальных активов в России (на примере…).</w:t>
      </w:r>
    </w:p>
    <w:p w14:paraId="1F2B7CA5" w14:textId="32EA701D" w:rsidR="00EF7B8A" w:rsidRPr="00EF7B8A" w:rsidRDefault="00EF7B8A" w:rsidP="00EF7B8A">
      <w:pPr>
        <w:spacing w:line="276" w:lineRule="auto"/>
        <w:jc w:val="left"/>
      </w:pPr>
      <w:r w:rsidRPr="00EF7B8A">
        <w:lastRenderedPageBreak/>
        <w:t>19. Анализ изменения цен на имущество в ходе проведения торгов по проблемной задолженности (на примере…).</w:t>
      </w:r>
    </w:p>
    <w:p w14:paraId="0123FB5B" w14:textId="77777777" w:rsidR="00EF7B8A" w:rsidRDefault="00EF7B8A" w:rsidP="00EF7B8A">
      <w:pPr>
        <w:spacing w:line="276" w:lineRule="auto"/>
        <w:jc w:val="left"/>
      </w:pPr>
      <w:r w:rsidRPr="00EF7B8A">
        <w:t>20. Финансовая грамотность населения и бизнеса и деятельность банков по ее повышению (на примере банка…).</w:t>
      </w:r>
    </w:p>
    <w:p w14:paraId="186A1A69" w14:textId="77777777" w:rsidR="00EF7B8A" w:rsidRDefault="00EF7B8A" w:rsidP="00EF7B8A">
      <w:pPr>
        <w:spacing w:line="276" w:lineRule="auto"/>
        <w:jc w:val="left"/>
      </w:pPr>
      <w:r w:rsidRPr="00EF7B8A">
        <w:t>21. Бюро кредитных историй и их роль в развитии банковской деятельности (на примере банка…).</w:t>
      </w:r>
    </w:p>
    <w:p w14:paraId="134284A3" w14:textId="77777777" w:rsidR="00EF7B8A" w:rsidRDefault="00EF7B8A" w:rsidP="00EF7B8A">
      <w:pPr>
        <w:spacing w:line="276" w:lineRule="auto"/>
        <w:jc w:val="left"/>
      </w:pPr>
      <w:r w:rsidRPr="00EF7B8A">
        <w:t>22. Кредитные и социальные рейтинги для физических лиц в схемах B2B и B2C: зарубежный опыт и российская практика.</w:t>
      </w:r>
    </w:p>
    <w:p w14:paraId="30008843" w14:textId="77777777" w:rsidR="00EF7B8A" w:rsidRDefault="00EF7B8A" w:rsidP="00EF7B8A">
      <w:pPr>
        <w:spacing w:line="276" w:lineRule="auto"/>
        <w:jc w:val="left"/>
      </w:pPr>
      <w:r w:rsidRPr="00EF7B8A">
        <w:t>23. Использование нефинансовой информации для анализа кредитоспособности (на примере…).</w:t>
      </w:r>
    </w:p>
    <w:p w14:paraId="606F07AA" w14:textId="77777777" w:rsidR="00EF7B8A" w:rsidRDefault="00EF7B8A" w:rsidP="00EF7B8A">
      <w:pPr>
        <w:spacing w:line="276" w:lineRule="auto"/>
        <w:jc w:val="left"/>
      </w:pPr>
      <w:r w:rsidRPr="00EF7B8A">
        <w:t>24. Кредитный рейтинг заемщика и его роль в оптимизации кредитного риска коммерческого банка (на примере…).</w:t>
      </w:r>
    </w:p>
    <w:p w14:paraId="62598B8C" w14:textId="1F782D50" w:rsidR="00EF7B8A" w:rsidRPr="00EF7B8A" w:rsidRDefault="00EF7B8A" w:rsidP="00EF7B8A">
      <w:pPr>
        <w:spacing w:line="276" w:lineRule="auto"/>
        <w:jc w:val="left"/>
      </w:pPr>
      <w:r w:rsidRPr="00EF7B8A">
        <w:t>25. Слияние и поглощение как формы реструктуризации банковского бизнеса в России и за рубежом.</w:t>
      </w:r>
    </w:p>
    <w:p w14:paraId="122394F6" w14:textId="77777777" w:rsidR="00EF7B8A" w:rsidRDefault="00EF7B8A" w:rsidP="00EF7B8A">
      <w:pPr>
        <w:spacing w:line="276" w:lineRule="auto"/>
        <w:jc w:val="left"/>
      </w:pPr>
      <w:r w:rsidRPr="00EF7B8A">
        <w:t>26. Развитие потребительского кредитования в России (на примере коммерческого банка…).</w:t>
      </w:r>
    </w:p>
    <w:p w14:paraId="485C9623" w14:textId="77777777" w:rsidR="00EF7B8A" w:rsidRDefault="00EF7B8A" w:rsidP="00EF7B8A">
      <w:pPr>
        <w:spacing w:line="276" w:lineRule="auto"/>
        <w:jc w:val="left"/>
      </w:pPr>
      <w:r w:rsidRPr="00EF7B8A">
        <w:t>27. Развитие ипотечного кредитования в России (на примере коммерческого банка…).</w:t>
      </w:r>
    </w:p>
    <w:p w14:paraId="361C129A" w14:textId="77777777" w:rsidR="00EF7B8A" w:rsidRDefault="00EF7B8A" w:rsidP="00EF7B8A">
      <w:pPr>
        <w:spacing w:line="276" w:lineRule="auto"/>
        <w:jc w:val="left"/>
      </w:pPr>
      <w:r w:rsidRPr="00EF7B8A">
        <w:t>28. Кредитование малого и среднего бизнеса в России в современных условиях (на примере…).</w:t>
      </w:r>
    </w:p>
    <w:p w14:paraId="706C63AC" w14:textId="77777777" w:rsidR="00EF7B8A" w:rsidRDefault="00EF7B8A" w:rsidP="00EF7B8A">
      <w:pPr>
        <w:spacing w:line="276" w:lineRule="auto"/>
        <w:jc w:val="left"/>
      </w:pPr>
      <w:r w:rsidRPr="00EF7B8A">
        <w:t>29. Банковское кредитование населения в условиях экономической нестабильности (на примере…).</w:t>
      </w:r>
    </w:p>
    <w:p w14:paraId="5E1D03C2" w14:textId="6E027C6D" w:rsidR="00EF7B8A" w:rsidRPr="00EF7B8A" w:rsidRDefault="00EF7B8A" w:rsidP="00EF7B8A">
      <w:pPr>
        <w:spacing w:line="276" w:lineRule="auto"/>
        <w:jc w:val="left"/>
      </w:pPr>
      <w:r w:rsidRPr="00EF7B8A">
        <w:t>30. Особенности организации POS-кредитования в российской банковской практике (на примере…).</w:t>
      </w:r>
    </w:p>
    <w:p w14:paraId="5CF5072C" w14:textId="77777777" w:rsidR="00EF7B8A" w:rsidRDefault="00EF7B8A" w:rsidP="00EF7B8A">
      <w:pPr>
        <w:spacing w:line="276" w:lineRule="auto"/>
        <w:jc w:val="left"/>
      </w:pPr>
      <w:r w:rsidRPr="00EF7B8A">
        <w:t>31. Кредитный риск: модели оценки и методы управления в кредитных организациях (на примере…).</w:t>
      </w:r>
    </w:p>
    <w:p w14:paraId="7045142D" w14:textId="77777777" w:rsidR="00EF7B8A" w:rsidRDefault="00EF7B8A" w:rsidP="00EF7B8A">
      <w:pPr>
        <w:spacing w:line="276" w:lineRule="auto"/>
        <w:jc w:val="left"/>
      </w:pPr>
      <w:r w:rsidRPr="00EF7B8A">
        <w:t>32. Ликвидность коммерческого банка: оценка и методы управления (на примере…).</w:t>
      </w:r>
    </w:p>
    <w:p w14:paraId="6D07C07E" w14:textId="77777777" w:rsidR="00EF7B8A" w:rsidRDefault="00EF7B8A" w:rsidP="00EF7B8A">
      <w:pPr>
        <w:spacing w:line="276" w:lineRule="auto"/>
        <w:jc w:val="left"/>
      </w:pPr>
      <w:r w:rsidRPr="00EF7B8A">
        <w:t>33. Политика управления рисками кредитной организации: назначение и основное содержание (на примере…).</w:t>
      </w:r>
    </w:p>
    <w:p w14:paraId="44256F9A" w14:textId="77777777" w:rsidR="00EF7B8A" w:rsidRDefault="00EF7B8A" w:rsidP="00EF7B8A">
      <w:pPr>
        <w:spacing w:line="276" w:lineRule="auto"/>
        <w:jc w:val="left"/>
      </w:pPr>
      <w:r w:rsidRPr="00EF7B8A">
        <w:t>34. Влияние цифровизации на организацию управления рисками коммерческих банков (на примере…).</w:t>
      </w:r>
    </w:p>
    <w:p w14:paraId="3F9269A7" w14:textId="77777777" w:rsidR="00EF7B8A" w:rsidRDefault="00EF7B8A" w:rsidP="00EF7B8A">
      <w:pPr>
        <w:spacing w:line="276" w:lineRule="auto"/>
        <w:jc w:val="left"/>
      </w:pPr>
      <w:r w:rsidRPr="00EF7B8A">
        <w:t>35. Рыночные риски кредитных организаций: развитие подходов к управлению и регулированию (на примере…).</w:t>
      </w:r>
    </w:p>
    <w:p w14:paraId="1A26135A" w14:textId="6B373252" w:rsidR="00EF7B8A" w:rsidRPr="00EF7B8A" w:rsidRDefault="00EF7B8A" w:rsidP="00EF7B8A">
      <w:pPr>
        <w:spacing w:line="276" w:lineRule="auto"/>
        <w:jc w:val="left"/>
      </w:pPr>
      <w:r w:rsidRPr="00EF7B8A">
        <w:t>36. Система управления операционным риском в кредитных организациях (на примере…).</w:t>
      </w:r>
    </w:p>
    <w:p w14:paraId="6E03F043" w14:textId="77777777" w:rsidR="00EF7B8A" w:rsidRDefault="00EF7B8A" w:rsidP="00EF7B8A">
      <w:pPr>
        <w:spacing w:line="276" w:lineRule="auto"/>
        <w:jc w:val="left"/>
      </w:pPr>
      <w:r w:rsidRPr="00EF7B8A">
        <w:t>37. Проблемы привлечения долгосрочных ресурсов в банковский сектор (на примере…).</w:t>
      </w:r>
    </w:p>
    <w:p w14:paraId="32E86A6C" w14:textId="77777777" w:rsidR="00EF7B8A" w:rsidRDefault="00EF7B8A" w:rsidP="00EF7B8A">
      <w:pPr>
        <w:spacing w:line="276" w:lineRule="auto"/>
        <w:jc w:val="left"/>
      </w:pPr>
      <w:r w:rsidRPr="00EF7B8A">
        <w:lastRenderedPageBreak/>
        <w:t>38. Собственный капитал, его структура и роль в обеспечении устойчивости и развития кредитных организаций (на примере…).</w:t>
      </w:r>
    </w:p>
    <w:p w14:paraId="67D1D388" w14:textId="77777777" w:rsidR="00EF7B8A" w:rsidRDefault="00EF7B8A" w:rsidP="00EF7B8A">
      <w:pPr>
        <w:spacing w:line="276" w:lineRule="auto"/>
        <w:jc w:val="left"/>
      </w:pPr>
      <w:r w:rsidRPr="00EF7B8A">
        <w:t>39. Депозитная политика коммерческих банков в условиях цифровой трансформации (на примере…).</w:t>
      </w:r>
    </w:p>
    <w:p w14:paraId="41C1306C" w14:textId="1947854E" w:rsidR="00EF7B8A" w:rsidRPr="00EF7B8A" w:rsidRDefault="00EF7B8A" w:rsidP="00EF7B8A">
      <w:pPr>
        <w:spacing w:line="276" w:lineRule="auto"/>
        <w:jc w:val="left"/>
      </w:pPr>
      <w:r w:rsidRPr="00EF7B8A">
        <w:t>40. Транзакционный бизнес коммерческого банка и формирование ресурсной базы (на примере…).</w:t>
      </w:r>
    </w:p>
    <w:p w14:paraId="3FEEAB5C" w14:textId="77777777" w:rsidR="00EF7B8A" w:rsidRDefault="00EF7B8A" w:rsidP="00EF7B8A">
      <w:pPr>
        <w:spacing w:line="276" w:lineRule="auto"/>
        <w:jc w:val="left"/>
      </w:pPr>
      <w:r w:rsidRPr="00EF7B8A">
        <w:t>41. Пути совершенствования организации и регулирования оборота цифрового рубля в России (по материалам Банка России).</w:t>
      </w:r>
    </w:p>
    <w:p w14:paraId="61E469AB" w14:textId="77777777" w:rsidR="00EF7B8A" w:rsidRDefault="00EF7B8A" w:rsidP="00EF7B8A">
      <w:pPr>
        <w:spacing w:line="276" w:lineRule="auto"/>
        <w:jc w:val="left"/>
      </w:pPr>
      <w:r w:rsidRPr="00EF7B8A">
        <w:t>42. Развитие механизма оборота электронных денежных средств в России (по материалам Банка России).</w:t>
      </w:r>
    </w:p>
    <w:p w14:paraId="04CEC018" w14:textId="77777777" w:rsidR="00EF7B8A" w:rsidRDefault="00EF7B8A" w:rsidP="00EF7B8A">
      <w:pPr>
        <w:spacing w:line="276" w:lineRule="auto"/>
        <w:jc w:val="left"/>
      </w:pPr>
      <w:r w:rsidRPr="00EF7B8A">
        <w:t>43. Развитие механизма оборота цифровых финансовых активов в России (по материалам Банка России).</w:t>
      </w:r>
    </w:p>
    <w:p w14:paraId="02FB4742" w14:textId="77777777" w:rsidR="00EF7B8A" w:rsidRDefault="00EF7B8A" w:rsidP="00EF7B8A">
      <w:pPr>
        <w:spacing w:line="276" w:lineRule="auto"/>
        <w:jc w:val="left"/>
      </w:pPr>
      <w:r w:rsidRPr="00EF7B8A">
        <w:t>44. Риски в платежной системе России: идентификация и контроль (по материалам Банка России).</w:t>
      </w:r>
    </w:p>
    <w:p w14:paraId="2B6B7913" w14:textId="0AABFC50" w:rsidR="00EF7B8A" w:rsidRPr="00EF7B8A" w:rsidRDefault="00EF7B8A" w:rsidP="00EF7B8A">
      <w:pPr>
        <w:spacing w:line="276" w:lineRule="auto"/>
        <w:jc w:val="left"/>
      </w:pPr>
      <w:r w:rsidRPr="00EF7B8A">
        <w:t>45. Развитие рынка розничных платежных услуг в России: риски и регулирование (на конкретном примере).</w:t>
      </w:r>
    </w:p>
    <w:p w14:paraId="1F141D98" w14:textId="77777777" w:rsidR="00EF7B8A" w:rsidRDefault="00EF7B8A" w:rsidP="00EF7B8A">
      <w:pPr>
        <w:spacing w:line="276" w:lineRule="auto"/>
        <w:jc w:val="left"/>
      </w:pPr>
      <w:r w:rsidRPr="00EF7B8A">
        <w:t>46. Методы и инструменты современной денежно-кредитной политики Банка России: анализ эффективности (на материалах Банка России).</w:t>
      </w:r>
    </w:p>
    <w:p w14:paraId="2259E74C" w14:textId="77777777" w:rsidR="00EF7B8A" w:rsidRDefault="00EF7B8A" w:rsidP="00EF7B8A">
      <w:pPr>
        <w:spacing w:line="276" w:lineRule="auto"/>
        <w:jc w:val="left"/>
      </w:pPr>
      <w:r w:rsidRPr="00EF7B8A">
        <w:t>47. Эффективность денежно-кредитной политики России в условиях режима инфляционного таргетирования (на материалах Банка России).</w:t>
      </w:r>
    </w:p>
    <w:p w14:paraId="3BA5E643" w14:textId="77777777" w:rsidR="00EF7B8A" w:rsidRDefault="00EF7B8A" w:rsidP="00EF7B8A">
      <w:pPr>
        <w:spacing w:line="276" w:lineRule="auto"/>
        <w:jc w:val="left"/>
      </w:pPr>
      <w:r w:rsidRPr="00EF7B8A">
        <w:t>48. Рефинансирование кредитных организаций Банком России и его роль как кредитора последней инстанции (на материалах Банка России).</w:t>
      </w:r>
    </w:p>
    <w:p w14:paraId="4207237D" w14:textId="77777777" w:rsidR="00EF7B8A" w:rsidRDefault="00EF7B8A" w:rsidP="00EF7B8A">
      <w:pPr>
        <w:spacing w:line="276" w:lineRule="auto"/>
        <w:jc w:val="left"/>
      </w:pPr>
      <w:r w:rsidRPr="00EF7B8A">
        <w:t>49. Направления совершенствования надзорной деятельности Банка России (на материалах Банка России).</w:t>
      </w:r>
    </w:p>
    <w:p w14:paraId="55109F93" w14:textId="667F7061" w:rsidR="00EF7B8A" w:rsidRPr="00EF7B8A" w:rsidRDefault="00EF7B8A" w:rsidP="00EF7B8A">
      <w:pPr>
        <w:spacing w:line="276" w:lineRule="auto"/>
        <w:jc w:val="left"/>
      </w:pPr>
      <w:r w:rsidRPr="00EF7B8A">
        <w:t>50. Особенности организации пропорционального и стимулирующего регулирования банковской сферы России (на материалах Банка России).</w:t>
      </w:r>
    </w:p>
    <w:p w14:paraId="548670F8" w14:textId="614779D6" w:rsidR="00EF7B8A" w:rsidRPr="00EF7B8A" w:rsidRDefault="00EF7B8A" w:rsidP="00EF7B8A">
      <w:pPr>
        <w:spacing w:line="276" w:lineRule="auto"/>
        <w:jc w:val="left"/>
        <w:rPr>
          <w:b/>
          <w:bCs/>
        </w:rPr>
      </w:pPr>
      <w:r>
        <w:rPr>
          <w:b/>
          <w:bCs/>
        </w:rPr>
        <w:t>Темы</w:t>
      </w:r>
      <w:r w:rsidRPr="00EF7B8A">
        <w:rPr>
          <w:b/>
          <w:bCs/>
        </w:rPr>
        <w:t xml:space="preserve"> в формате «Стартап»</w:t>
      </w:r>
    </w:p>
    <w:p w14:paraId="44A8CC36" w14:textId="77777777" w:rsidR="00EF7B8A" w:rsidRPr="00EF7B8A" w:rsidRDefault="00EF7B8A" w:rsidP="00EF7B8A">
      <w:pPr>
        <w:numPr>
          <w:ilvl w:val="0"/>
          <w:numId w:val="2"/>
        </w:numPr>
        <w:spacing w:line="276" w:lineRule="auto"/>
        <w:ind w:left="0" w:firstLine="0"/>
        <w:jc w:val="left"/>
      </w:pPr>
      <w:r w:rsidRPr="00EF7B8A">
        <w:t>Экономическое обоснование стартапа в сфере персонализированных финансовых консультаций на базе ИИ.</w:t>
      </w:r>
    </w:p>
    <w:p w14:paraId="1AAEFF99" w14:textId="77777777" w:rsidR="00EF7B8A" w:rsidRPr="00EF7B8A" w:rsidRDefault="00EF7B8A" w:rsidP="00EF7B8A">
      <w:pPr>
        <w:numPr>
          <w:ilvl w:val="0"/>
          <w:numId w:val="2"/>
        </w:numPr>
        <w:spacing w:line="276" w:lineRule="auto"/>
        <w:ind w:left="0" w:firstLine="0"/>
        <w:jc w:val="left"/>
      </w:pPr>
      <w:r w:rsidRPr="00EF7B8A">
        <w:t xml:space="preserve">Разработка бизнес-модели и инвестиционный план </w:t>
      </w:r>
      <w:proofErr w:type="spellStart"/>
      <w:r w:rsidRPr="00EF7B8A">
        <w:t>fintech</w:t>
      </w:r>
      <w:proofErr w:type="spellEnd"/>
      <w:r w:rsidRPr="00EF7B8A">
        <w:t>-стартапа по автоматизации налогового учёта для самозанятых и ИП.</w:t>
      </w:r>
    </w:p>
    <w:p w14:paraId="46904B1A" w14:textId="77777777" w:rsidR="00EF7B8A" w:rsidRPr="00EF7B8A" w:rsidRDefault="00EF7B8A" w:rsidP="00EF7B8A">
      <w:pPr>
        <w:numPr>
          <w:ilvl w:val="0"/>
          <w:numId w:val="2"/>
        </w:numPr>
        <w:spacing w:line="276" w:lineRule="auto"/>
        <w:ind w:left="0" w:firstLine="0"/>
        <w:jc w:val="left"/>
      </w:pPr>
      <w:r w:rsidRPr="00EF7B8A">
        <w:t xml:space="preserve">Экономическая эффективность стартапа-платформы для </w:t>
      </w:r>
      <w:proofErr w:type="spellStart"/>
      <w:r w:rsidRPr="00EF7B8A">
        <w:t>микроинвестирования</w:t>
      </w:r>
      <w:proofErr w:type="spellEnd"/>
      <w:r w:rsidRPr="00EF7B8A">
        <w:t xml:space="preserve"> в альтернативные активы.</w:t>
      </w:r>
    </w:p>
    <w:p w14:paraId="289DF8F7" w14:textId="77777777" w:rsidR="00EF7B8A" w:rsidRPr="00EF7B8A" w:rsidRDefault="00EF7B8A" w:rsidP="00EF7B8A">
      <w:pPr>
        <w:numPr>
          <w:ilvl w:val="0"/>
          <w:numId w:val="2"/>
        </w:numPr>
        <w:spacing w:line="276" w:lineRule="auto"/>
        <w:ind w:left="0" w:firstLine="0"/>
        <w:jc w:val="left"/>
      </w:pPr>
      <w:r w:rsidRPr="00EF7B8A">
        <w:t xml:space="preserve">Инвестиционный анализ и бизнес-план </w:t>
      </w:r>
      <w:proofErr w:type="spellStart"/>
      <w:r w:rsidRPr="00EF7B8A">
        <w:t>InsurTech</w:t>
      </w:r>
      <w:proofErr w:type="spellEnd"/>
      <w:r w:rsidRPr="00EF7B8A">
        <w:t>-стартапа по страхованию рисков кибербезопасности для МСП.</w:t>
      </w:r>
    </w:p>
    <w:p w14:paraId="4F64F15F" w14:textId="77777777" w:rsidR="00EF7B8A" w:rsidRPr="00EF7B8A" w:rsidRDefault="00EF7B8A" w:rsidP="00EF7B8A">
      <w:pPr>
        <w:numPr>
          <w:ilvl w:val="0"/>
          <w:numId w:val="2"/>
        </w:numPr>
        <w:spacing w:line="276" w:lineRule="auto"/>
        <w:ind w:left="0" w:firstLine="0"/>
        <w:jc w:val="left"/>
      </w:pPr>
      <w:r w:rsidRPr="00EF7B8A">
        <w:t>Экономическое обоснование стартапа по внедрению блокчейн-решений для прозрачности цепочек поставок в агропромышленном секторе.</w:t>
      </w:r>
    </w:p>
    <w:p w14:paraId="6E8CBAF3" w14:textId="77777777" w:rsidR="00EF7B8A" w:rsidRPr="00EF7B8A" w:rsidRDefault="00EF7B8A" w:rsidP="00EF7B8A">
      <w:pPr>
        <w:numPr>
          <w:ilvl w:val="0"/>
          <w:numId w:val="2"/>
        </w:numPr>
        <w:spacing w:line="276" w:lineRule="auto"/>
        <w:ind w:left="0" w:firstLine="0"/>
        <w:jc w:val="left"/>
      </w:pPr>
      <w:r w:rsidRPr="00EF7B8A">
        <w:t xml:space="preserve">Инвестиционное обоснование и расчёт точки безубыточности стартапа-агрегатора финансовых сервисов на основе </w:t>
      </w:r>
      <w:proofErr w:type="spellStart"/>
      <w:r w:rsidRPr="00EF7B8A">
        <w:t>open</w:t>
      </w:r>
      <w:proofErr w:type="spellEnd"/>
      <w:r w:rsidRPr="00EF7B8A">
        <w:t xml:space="preserve"> </w:t>
      </w:r>
      <w:proofErr w:type="spellStart"/>
      <w:r w:rsidRPr="00EF7B8A">
        <w:t>banking</w:t>
      </w:r>
      <w:proofErr w:type="spellEnd"/>
      <w:r w:rsidRPr="00EF7B8A">
        <w:t xml:space="preserve"> API.</w:t>
      </w:r>
    </w:p>
    <w:p w14:paraId="27ECFCA2" w14:textId="77777777" w:rsidR="00EF7B8A" w:rsidRPr="00EF7B8A" w:rsidRDefault="00EF7B8A" w:rsidP="00EF7B8A">
      <w:pPr>
        <w:numPr>
          <w:ilvl w:val="0"/>
          <w:numId w:val="2"/>
        </w:numPr>
        <w:spacing w:line="276" w:lineRule="auto"/>
        <w:ind w:left="0" w:firstLine="0"/>
        <w:jc w:val="left"/>
      </w:pPr>
      <w:r w:rsidRPr="00EF7B8A">
        <w:lastRenderedPageBreak/>
        <w:t>Экономический анализ стартапа-сервиса автоматизации управления личными финансами с интеграцией экосистемы госуслуг и розничных банков.</w:t>
      </w:r>
    </w:p>
    <w:p w14:paraId="49A48C2C" w14:textId="77777777" w:rsidR="00EF7B8A" w:rsidRPr="00EF7B8A" w:rsidRDefault="00EF7B8A" w:rsidP="00EF7B8A">
      <w:pPr>
        <w:numPr>
          <w:ilvl w:val="0"/>
          <w:numId w:val="2"/>
        </w:numPr>
        <w:spacing w:line="276" w:lineRule="auto"/>
        <w:ind w:left="0" w:firstLine="0"/>
        <w:jc w:val="left"/>
      </w:pPr>
      <w:r w:rsidRPr="00EF7B8A">
        <w:t>Запуск сервиса онлайн-консультаций по личным финансам.</w:t>
      </w:r>
    </w:p>
    <w:p w14:paraId="783137FE" w14:textId="77777777" w:rsidR="003C7C4C" w:rsidRDefault="003C7C4C" w:rsidP="00EF7B8A">
      <w:pPr>
        <w:spacing w:line="276" w:lineRule="auto"/>
        <w:jc w:val="left"/>
      </w:pPr>
    </w:p>
    <w:sectPr w:rsidR="003C7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93C78"/>
    <w:multiLevelType w:val="multilevel"/>
    <w:tmpl w:val="F4ECA1C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A750F4"/>
    <w:multiLevelType w:val="multilevel"/>
    <w:tmpl w:val="BF14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100031">
    <w:abstractNumId w:val="1"/>
  </w:num>
  <w:num w:numId="2" w16cid:durableId="474879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8A"/>
    <w:rsid w:val="002F3CCB"/>
    <w:rsid w:val="00377A9F"/>
    <w:rsid w:val="003C7C4C"/>
    <w:rsid w:val="00532F35"/>
    <w:rsid w:val="00A938BC"/>
    <w:rsid w:val="00E75803"/>
    <w:rsid w:val="00EF7B8A"/>
    <w:rsid w:val="00FD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3888"/>
  <w15:chartTrackingRefBased/>
  <w15:docId w15:val="{04E32F35-10D1-4499-9DD8-A3DDD075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lang w:val="ru-RU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8BC"/>
  </w:style>
  <w:style w:type="paragraph" w:styleId="1">
    <w:name w:val="heading 1"/>
    <w:basedOn w:val="a"/>
    <w:next w:val="a"/>
    <w:link w:val="10"/>
    <w:uiPriority w:val="9"/>
    <w:qFormat/>
    <w:rsid w:val="00EF7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7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F7B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B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7B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B8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B8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B8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7B8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7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F7B8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7B8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7B8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7B8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7B8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7B8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7B8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7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7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7B8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7B8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EF7B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7B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7B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7B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7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7B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F7B8A"/>
    <w:rPr>
      <w:b/>
      <w:bCs/>
      <w:smallCaps/>
      <w:color w:val="0F4761" w:themeColor="accent1" w:themeShade="BF"/>
      <w:spacing w:val="5"/>
    </w:rPr>
  </w:style>
  <w:style w:type="character" w:customStyle="1" w:styleId="qwen-markdown-text">
    <w:name w:val="qwen-markdown-text"/>
    <w:basedOn w:val="a0"/>
    <w:rsid w:val="00FD4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892</Words>
  <Characters>5088</Characters>
  <Application>Microsoft Office Word</Application>
  <DocSecurity>0</DocSecurity>
  <Lines>42</Lines>
  <Paragraphs>11</Paragraphs>
  <ScaleCrop>false</ScaleCrop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Ломов Евгений Евгеньевич</dc:creator>
  <cp:keywords/>
  <dc:description/>
  <cp:lastModifiedBy>Ломов Евгений Евгеньевич</cp:lastModifiedBy>
  <cp:revision>3</cp:revision>
  <dcterms:created xsi:type="dcterms:W3CDTF">2026-04-20T19:25:00Z</dcterms:created>
  <dcterms:modified xsi:type="dcterms:W3CDTF">2026-04-20T19:30:00Z</dcterms:modified>
</cp:coreProperties>
</file>