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233" w:rsidRDefault="00A13E3F">
      <w:pPr>
        <w:widowControl/>
        <w:spacing w:before="240" w:after="120"/>
        <w:jc w:val="center"/>
        <w:rPr>
          <w:sz w:val="28"/>
        </w:rPr>
      </w:pPr>
      <w:r>
        <w:rPr>
          <w:b/>
          <w:sz w:val="28"/>
        </w:rPr>
        <w:t>КРИТЕРИИ ОЦЕНИВАНИЯ РЕЗУЛЬТАТОВ ПРАКТИКИ</w:t>
      </w:r>
    </w:p>
    <w:p w:rsidR="00EF0233" w:rsidRDefault="00A13E3F">
      <w:pPr>
        <w:widowControl/>
        <w:spacing w:after="240"/>
        <w:jc w:val="center"/>
        <w:rPr>
          <w:sz w:val="28"/>
        </w:rPr>
      </w:pPr>
      <w:r>
        <w:rPr>
          <w:b/>
          <w:sz w:val="28"/>
        </w:rPr>
        <w:t>используемые при защите отчетов по практике</w:t>
      </w:r>
    </w:p>
    <w:p w:rsidR="00EF0233" w:rsidRDefault="00A13E3F">
      <w:pPr>
        <w:widowControl/>
        <w:jc w:val="both"/>
        <w:rPr>
          <w:sz w:val="28"/>
        </w:rPr>
      </w:pPr>
      <w:r>
        <w:rPr>
          <w:b/>
          <w:sz w:val="28"/>
        </w:rPr>
        <w:t>1. Общие положения</w:t>
      </w:r>
    </w:p>
    <w:p w:rsidR="00EF0233" w:rsidRDefault="00A13E3F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1.1. Настоящие критерии применяются при оценивании результатов учебной и производственной практики обучающихся, закрепленных за </w:t>
      </w:r>
      <w:r w:rsidR="002A1FCE">
        <w:rPr>
          <w:sz w:val="28"/>
        </w:rPr>
        <w:t>к</w:t>
      </w:r>
      <w:r>
        <w:rPr>
          <w:sz w:val="28"/>
        </w:rPr>
        <w:t xml:space="preserve">афедрой </w:t>
      </w:r>
      <w:r w:rsidR="002A1FCE">
        <w:rPr>
          <w:sz w:val="28"/>
        </w:rPr>
        <w:t>«</w:t>
      </w:r>
      <w:r>
        <w:rPr>
          <w:sz w:val="28"/>
        </w:rPr>
        <w:t xml:space="preserve">Финансовый </w:t>
      </w:r>
      <w:r>
        <w:rPr>
          <w:sz w:val="28"/>
        </w:rPr>
        <w:t>контроль и казначейское дело</w:t>
      </w:r>
      <w:r w:rsidR="002A1FCE">
        <w:rPr>
          <w:sz w:val="28"/>
        </w:rPr>
        <w:t>»</w:t>
      </w:r>
      <w:bookmarkStart w:id="0" w:name="_GoBack"/>
      <w:bookmarkEnd w:id="0"/>
      <w:r>
        <w:rPr>
          <w:sz w:val="28"/>
        </w:rPr>
        <w:t>.</w:t>
      </w:r>
    </w:p>
    <w:p w:rsidR="00EF0233" w:rsidRDefault="00A13E3F">
      <w:pPr>
        <w:widowControl/>
        <w:ind w:firstLine="709"/>
        <w:jc w:val="both"/>
        <w:rPr>
          <w:sz w:val="28"/>
        </w:rPr>
      </w:pPr>
      <w:r>
        <w:rPr>
          <w:sz w:val="28"/>
        </w:rPr>
        <w:t>1.2. Критерии используются руководителями практики от Финансового университета при проведении промежуточной аттестации и обеспечивают единообразный подход к оцениванию качества выполнения, оформления и защиты отчетов по практи</w:t>
      </w:r>
      <w:r>
        <w:rPr>
          <w:sz w:val="28"/>
        </w:rPr>
        <w:t>ке.</w:t>
      </w:r>
    </w:p>
    <w:p w:rsidR="00EF0233" w:rsidRDefault="00A13E3F">
      <w:pPr>
        <w:widowControl/>
        <w:ind w:firstLine="709"/>
        <w:jc w:val="both"/>
        <w:rPr>
          <w:sz w:val="28"/>
        </w:rPr>
      </w:pPr>
      <w:r>
        <w:rPr>
          <w:sz w:val="28"/>
        </w:rPr>
        <w:t>1.3. Оценка уровня сформированности компетенций осуществляется на основании материалов, собранных в процессе прохождения практики, качества выполнения и оформления отчета о прохождении практики, содержания доклада на его защите и ответов на вопросы.</w:t>
      </w:r>
    </w:p>
    <w:p w:rsidR="00EF0233" w:rsidRDefault="00A13E3F">
      <w:pPr>
        <w:widowControl/>
        <w:ind w:firstLine="709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>4. К оцениванию допускается обучающийся, выполнивший программу практики, представивший полный комплект отчетных документов в установленном порядке и получивший статус «Допущен к защите».</w:t>
      </w:r>
    </w:p>
    <w:p w:rsidR="00EF0233" w:rsidRDefault="00A13E3F">
      <w:pPr>
        <w:widowControl/>
        <w:ind w:firstLine="709"/>
        <w:jc w:val="both"/>
        <w:rPr>
          <w:sz w:val="28"/>
        </w:rPr>
      </w:pPr>
      <w:r>
        <w:rPr>
          <w:sz w:val="28"/>
        </w:rPr>
        <w:t>1.5. Оценивание проводится по каждому критерию отдельно. Итоговый бал</w:t>
      </w:r>
      <w:r>
        <w:rPr>
          <w:sz w:val="28"/>
        </w:rPr>
        <w:t>л определяется как сумма баллов, выставленных по всем критериям.</w:t>
      </w:r>
    </w:p>
    <w:p w:rsidR="00EF0233" w:rsidRDefault="00EF0233">
      <w:pPr>
        <w:widowControl/>
        <w:ind w:firstLine="709"/>
        <w:jc w:val="both"/>
        <w:rPr>
          <w:sz w:val="28"/>
        </w:rPr>
      </w:pPr>
    </w:p>
    <w:p w:rsidR="00EF0233" w:rsidRDefault="00A13E3F">
      <w:pPr>
        <w:widowControl/>
        <w:jc w:val="both"/>
        <w:rPr>
          <w:b/>
          <w:sz w:val="28"/>
        </w:rPr>
      </w:pPr>
      <w:r>
        <w:rPr>
          <w:b/>
          <w:sz w:val="28"/>
        </w:rPr>
        <w:t>2. Оценка отчета и отчетных документов — до 80 баллов</w:t>
      </w: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2125"/>
        <w:gridCol w:w="1135"/>
        <w:gridCol w:w="1276"/>
        <w:gridCol w:w="5673"/>
      </w:tblGrid>
      <w:tr w:rsidR="00EF0233">
        <w:trPr>
          <w:trHeight w:val="398"/>
        </w:trPr>
        <w:tc>
          <w:tcPr>
            <w:tcW w:w="2125" w:type="dxa"/>
          </w:tcPr>
          <w:p w:rsidR="00EF0233" w:rsidRDefault="00A13E3F">
            <w:pPr>
              <w:pStyle w:val="TableParagraph"/>
              <w:ind w:left="14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</w:p>
          <w:p w:rsidR="00EF0233" w:rsidRDefault="00A13E3F">
            <w:pPr>
              <w:pStyle w:val="TableParagraph"/>
              <w:ind w:left="14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критерия </w:t>
            </w:r>
          </w:p>
        </w:tc>
        <w:tc>
          <w:tcPr>
            <w:tcW w:w="1135" w:type="dxa"/>
          </w:tcPr>
          <w:p w:rsidR="00EF0233" w:rsidRDefault="00A13E3F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Макс.</w:t>
            </w:r>
          </w:p>
          <w:p w:rsidR="00EF0233" w:rsidRDefault="00A13E3F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136" w:right="132"/>
              <w:jc w:val="center"/>
              <w:rPr>
                <w:sz w:val="24"/>
              </w:rPr>
            </w:pPr>
            <w:r>
              <w:rPr>
                <w:sz w:val="24"/>
              </w:rPr>
              <w:t>Диапазон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136" w:right="132"/>
              <w:jc w:val="center"/>
              <w:rPr>
                <w:sz w:val="24"/>
              </w:rPr>
            </w:pPr>
            <w:r>
              <w:rPr>
                <w:sz w:val="24"/>
              </w:rPr>
              <w:t>Показатель критерия, позволяющий его оценить в максимальный балл</w:t>
            </w:r>
          </w:p>
        </w:tc>
      </w:tr>
      <w:tr w:rsidR="00EF0233">
        <w:trPr>
          <w:trHeight w:val="398"/>
        </w:trPr>
        <w:tc>
          <w:tcPr>
            <w:tcW w:w="10209" w:type="dxa"/>
            <w:gridSpan w:val="4"/>
          </w:tcPr>
          <w:p w:rsidR="00EF0233" w:rsidRDefault="00A13E3F">
            <w:pPr>
              <w:pStyle w:val="TableParagraph"/>
              <w:ind w:left="136" w:right="132"/>
              <w:rPr>
                <w:sz w:val="24"/>
              </w:rPr>
            </w:pPr>
            <w:r>
              <w:rPr>
                <w:b/>
                <w:sz w:val="24"/>
              </w:rPr>
              <w:t xml:space="preserve">1. Требования к отчетным </w:t>
            </w:r>
            <w:r>
              <w:rPr>
                <w:b/>
                <w:sz w:val="24"/>
              </w:rPr>
              <w:t>документам</w:t>
            </w:r>
          </w:p>
        </w:tc>
      </w:tr>
      <w:tr w:rsidR="00EF0233">
        <w:trPr>
          <w:trHeight w:val="696"/>
        </w:trPr>
        <w:tc>
          <w:tcPr>
            <w:tcW w:w="2125" w:type="dxa"/>
            <w:vMerge w:val="restart"/>
          </w:tcPr>
          <w:p w:rsidR="00EF0233" w:rsidRDefault="00A13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1.1 Соответствие содержания отчета индивидуальному заданию</w:t>
            </w:r>
          </w:p>
        </w:tc>
        <w:tc>
          <w:tcPr>
            <w:tcW w:w="1135" w:type="dxa"/>
            <w:vMerge w:val="restart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9–10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Содержание отчета полностью соответствует индивидуальному заданию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6–8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Основные положения индивидуального задания выполнены и отражены,</w:t>
            </w:r>
            <w:r>
              <w:rPr>
                <w:sz w:val="24"/>
              </w:rPr>
              <w:t xml:space="preserve"> отдельные вопросы раскрыты недостаточно полно.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3–5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Содержание отчета соответствует индивидуальному заданию частичное: существенная часть работ не представлена либо раскрыта формально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0–2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Содержание отчета полностью не соответствует индивидуальному </w:t>
            </w:r>
            <w:r>
              <w:rPr>
                <w:sz w:val="24"/>
              </w:rPr>
              <w:t>заданию</w:t>
            </w:r>
          </w:p>
        </w:tc>
      </w:tr>
      <w:tr w:rsidR="00EF0233">
        <w:trPr>
          <w:trHeight w:val="696"/>
        </w:trPr>
        <w:tc>
          <w:tcPr>
            <w:tcW w:w="2125" w:type="dxa"/>
            <w:vMerge w:val="restart"/>
          </w:tcPr>
          <w:p w:rsidR="00EF0233" w:rsidRDefault="00A13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1.2 Соответствие предметной области выпускной квалификационной работы</w:t>
            </w:r>
          </w:p>
        </w:tc>
        <w:tc>
          <w:tcPr>
            <w:tcW w:w="1135" w:type="dxa"/>
            <w:vMerge w:val="restart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9–10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Содержание отчета в полной мере отражает предметную область выпускной квалификационной работы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6–8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Содержание отчета отражает предметную область выпускной </w:t>
            </w:r>
            <w:r>
              <w:rPr>
                <w:sz w:val="24"/>
              </w:rPr>
              <w:t>квалификационной работы, но отдельные результаты практики, указанные в отчете, недостаточно соотнесены с ее тематикой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3–5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Содержание отчета отражает предметную область выпускной квалификационной работы формально, значительная часть материала не относитс</w:t>
            </w:r>
            <w:r>
              <w:rPr>
                <w:sz w:val="24"/>
              </w:rPr>
              <w:t>я к тематике выпускной квалификационной работы.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0–2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Соответствие предметной области выпускной квалификационной работы отсутствует </w:t>
            </w:r>
          </w:p>
        </w:tc>
      </w:tr>
      <w:tr w:rsidR="00EF0233">
        <w:trPr>
          <w:trHeight w:val="696"/>
        </w:trPr>
        <w:tc>
          <w:tcPr>
            <w:tcW w:w="2125" w:type="dxa"/>
            <w:vMerge w:val="restart"/>
          </w:tcPr>
          <w:p w:rsidR="00EF0233" w:rsidRDefault="00A13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1.3 Соблюдение установленных сроков при подготовке отчета</w:t>
            </w:r>
          </w:p>
        </w:tc>
        <w:tc>
          <w:tcPr>
            <w:tcW w:w="1135" w:type="dxa"/>
            <w:vMerge w:val="restart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9–10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Отчет сформирован и представлен руководителю практики </w:t>
            </w:r>
            <w:r>
              <w:rPr>
                <w:sz w:val="24"/>
              </w:rPr>
              <w:t>от Финансового университета в установленный срок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6–8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Отчет представлен в срок, но отдельные промежуточные материалы направлялись с незначительными задержками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3–5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Допущено нарушение установленных сроков представления отчета или его доработки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0–2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Отчет представлен со значительным нарушением установленного срока либо не представлен к предусмотренной дате оценивания</w:t>
            </w:r>
          </w:p>
        </w:tc>
      </w:tr>
      <w:tr w:rsidR="00EF0233">
        <w:trPr>
          <w:trHeight w:val="696"/>
        </w:trPr>
        <w:tc>
          <w:tcPr>
            <w:tcW w:w="2125" w:type="dxa"/>
            <w:vMerge w:val="restart"/>
          </w:tcPr>
          <w:p w:rsidR="00EF0233" w:rsidRDefault="00A13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1.4 Оформление отчетной документации</w:t>
            </w:r>
          </w:p>
        </w:tc>
        <w:tc>
          <w:tcPr>
            <w:tcW w:w="1135" w:type="dxa"/>
            <w:vMerge w:val="restart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9–10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Полный комплект отчетных документов представлен, формы заполнены корректно, обязательные р</w:t>
            </w:r>
            <w:r>
              <w:rPr>
                <w:sz w:val="24"/>
              </w:rPr>
              <w:t>еквизиты, даты, подписи и печати оформлены надлежащим образом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6–8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Комплект документов представлен, имеются отдельные несущественные недостатки в заполнении или оформлении.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3–5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Имеются существенные недостатки комплектности или оформления документов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0–2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Комплект отчетных документов неполон либо оформление не соответствует установленным требованиям</w:t>
            </w:r>
          </w:p>
        </w:tc>
      </w:tr>
      <w:tr w:rsidR="00EF0233">
        <w:trPr>
          <w:trHeight w:val="696"/>
        </w:trPr>
        <w:tc>
          <w:tcPr>
            <w:tcW w:w="2125" w:type="dxa"/>
            <w:vMerge w:val="restart"/>
          </w:tcPr>
          <w:p w:rsidR="00EF0233" w:rsidRDefault="00A13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1.5 Соблюдение требований к оформлению отчета</w:t>
            </w:r>
          </w:p>
        </w:tc>
        <w:tc>
          <w:tcPr>
            <w:tcW w:w="1135" w:type="dxa"/>
            <w:vMerge w:val="restart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9–10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Отчет оформлен в соответствии с требованиями, установленными положениями ГОСТ Р 7.0.97-2025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6–8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Требования к оформлению соблюдены, имеются единичные несущественные неточности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3–5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Допущены повторяющиеся или существенные нарушения оформления отчета и его элементов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0–2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 отчета в значительной степени не соответствует установленным </w:t>
            </w:r>
            <w:r>
              <w:rPr>
                <w:sz w:val="24"/>
              </w:rPr>
              <w:t>требованиям</w:t>
            </w:r>
          </w:p>
        </w:tc>
      </w:tr>
      <w:tr w:rsidR="00EF0233">
        <w:trPr>
          <w:trHeight w:val="696"/>
        </w:trPr>
        <w:tc>
          <w:tcPr>
            <w:tcW w:w="2125" w:type="dxa"/>
            <w:vMerge w:val="restart"/>
          </w:tcPr>
          <w:p w:rsidR="00EF0233" w:rsidRDefault="00A13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1.6 Знание и отражение в отчете актуальных норм законодательства</w:t>
            </w:r>
          </w:p>
        </w:tc>
        <w:tc>
          <w:tcPr>
            <w:tcW w:w="1135" w:type="dxa"/>
            <w:vMerge w:val="restart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9–10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Корректно определены и применены актуальные нормативные правовые акты в рамках исследуемой предметной области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6–8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Приведены актуальные нормативные правовые акты; </w:t>
            </w:r>
            <w:r>
              <w:rPr>
                <w:sz w:val="24"/>
              </w:rPr>
              <w:t>имеются отдельные неточности в их использовании либо недостаточно раскрыта связь с содержанием практики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3–5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Нормативная база раскрыта неполно, имеются существенные пропуски и неточности 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0–2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Актуальные нормативные правовые нормы практически не отражены либо использованы некорректные </w:t>
            </w:r>
          </w:p>
        </w:tc>
      </w:tr>
      <w:tr w:rsidR="00EF0233">
        <w:trPr>
          <w:trHeight w:val="696"/>
        </w:trPr>
        <w:tc>
          <w:tcPr>
            <w:tcW w:w="2125" w:type="dxa"/>
            <w:vMerge w:val="restart"/>
          </w:tcPr>
          <w:p w:rsidR="00EF0233" w:rsidRDefault="00A13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1.7 Полнота, структура и логичность </w:t>
            </w:r>
            <w:r>
              <w:rPr>
                <w:sz w:val="24"/>
              </w:rPr>
              <w:lastRenderedPageBreak/>
              <w:t>изложения материала</w:t>
            </w:r>
          </w:p>
        </w:tc>
        <w:tc>
          <w:tcPr>
            <w:tcW w:w="1135" w:type="dxa"/>
            <w:vMerge w:val="restart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10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9–10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Материал отчета структурирован, изложен последовательно и логично, результатами практики соответс</w:t>
            </w:r>
            <w:r>
              <w:rPr>
                <w:sz w:val="24"/>
              </w:rPr>
              <w:t xml:space="preserve">твуют целям и задачам ее проведения 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6–8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Материал в целом полон и логичен, однако отдельные вопросы раскрыты недостаточно подробно или наблюдаются нарушения последовательности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3–5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Имеются существенные пропуски, отсутствие структуры разделов отчета и </w:t>
            </w:r>
            <w:r>
              <w:rPr>
                <w:sz w:val="24"/>
              </w:rPr>
              <w:t>нарушения логики изложения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0–2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Изложение несистемное; существенная часть вопросов не раскрыта</w:t>
            </w:r>
          </w:p>
        </w:tc>
      </w:tr>
      <w:tr w:rsidR="00EF0233">
        <w:trPr>
          <w:trHeight w:val="696"/>
        </w:trPr>
        <w:tc>
          <w:tcPr>
            <w:tcW w:w="2125" w:type="dxa"/>
            <w:vMerge w:val="restart"/>
          </w:tcPr>
          <w:p w:rsidR="00EF0233" w:rsidRDefault="00A13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1.8 (а) Глубина анализа организационно-экономической деятельности организации (учебная практика)</w:t>
            </w:r>
          </w:p>
        </w:tc>
        <w:tc>
          <w:tcPr>
            <w:tcW w:w="1135" w:type="dxa"/>
            <w:vMerge w:val="restart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9–10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 xml:space="preserve">Проведен комплексный анализ </w:t>
            </w:r>
            <w:r>
              <w:t>организационно-экономической деятельности организации с использованием фактических данных. Выявлены особенности ее функционирования, установлены взаимосвязи между основными показателями деятельности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6–8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 xml:space="preserve">Проведен анализ основных направлений </w:t>
            </w:r>
            <w:r>
              <w:t>организационно-экономической деятельности организации, использованы фактические данные, однако отдельные аспекты раскрыты недостаточно полно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3–5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>Представлена преимущественно описательная характеристика деятельности организации, Анализ отдельных показате</w:t>
            </w:r>
            <w:r>
              <w:t>лей носит фрагментарный характер, использование фактических данных ограничено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0–2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>Анализ организационно-экономической деятельности практически отсутствует либо носит формальный характер. Основные показатели деятельности не рассмотрены</w:t>
            </w:r>
          </w:p>
        </w:tc>
      </w:tr>
      <w:tr w:rsidR="00EF0233">
        <w:trPr>
          <w:trHeight w:val="696"/>
        </w:trPr>
        <w:tc>
          <w:tcPr>
            <w:tcW w:w="2125" w:type="dxa"/>
            <w:vMerge w:val="restart"/>
          </w:tcPr>
          <w:p w:rsidR="00EF0233" w:rsidRDefault="00A13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1.8 </w:t>
            </w:r>
            <w:r>
              <w:rPr>
                <w:sz w:val="24"/>
              </w:rPr>
              <w:t>(б)Соответствие содержания отчета теме выпускной квалификационной работы (производственная практика)</w:t>
            </w:r>
          </w:p>
        </w:tc>
        <w:tc>
          <w:tcPr>
            <w:tcW w:w="1135" w:type="dxa"/>
            <w:vMerge w:val="restart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9–10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>Представлены результаты анализа, фактические данные и материалы практики, непосредственно связанные с предметом исследования и обеспечивающие инфор</w:t>
            </w:r>
            <w:r>
              <w:t>мационно-аналитическую основу подготовки выпускной квалификационной работы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6–8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>Содержание отчета в целом соответствует теме выпускной квалификационной работы. Представленные материалы отражают</w:t>
            </w:r>
            <w:r>
              <w:t xml:space="preserve"> предмет исследования, однако отдельные вопросы раскрыты недостаточно полно либо их значение для подготовки выпускной квалификационной работы обосновано частично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3–5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 xml:space="preserve">Содержание отчета частично соответствует теме выпускной квалификационной работы. Связь </w:t>
            </w:r>
            <w:r>
              <w:t>представленных материалов с предметом исследования прослеживается недостаточно, фактические данные и результаты анализа имеют ограниченную применимость для подготовки выпускной квалификационной работы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0–2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>Содержание отчета не соответствует либо в незначительной степени соответствует теме выпускной квалификационной работы. Материалы, необходимые для раскрытия предмета исследования и подготовки выпускной квалификационной работы, отсутствуют или представлены ф</w:t>
            </w:r>
            <w:r>
              <w:t>ормально.</w:t>
            </w:r>
          </w:p>
        </w:tc>
      </w:tr>
      <w:tr w:rsidR="00EF0233">
        <w:trPr>
          <w:trHeight w:val="696"/>
        </w:trPr>
        <w:tc>
          <w:tcPr>
            <w:tcW w:w="2125" w:type="dxa"/>
          </w:tcPr>
          <w:p w:rsidR="00EF0233" w:rsidRDefault="00A13E3F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135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</w:t>
            </w:r>
          </w:p>
        </w:tc>
        <w:tc>
          <w:tcPr>
            <w:tcW w:w="6949" w:type="dxa"/>
            <w:gridSpan w:val="2"/>
          </w:tcPr>
          <w:p w:rsidR="00EF0233" w:rsidRDefault="00EF0233">
            <w:pPr>
              <w:pStyle w:val="TableParagraph"/>
              <w:ind w:left="0"/>
              <w:jc w:val="both"/>
            </w:pPr>
          </w:p>
        </w:tc>
      </w:tr>
    </w:tbl>
    <w:p w:rsidR="00EF0233" w:rsidRDefault="00EF0233"/>
    <w:p w:rsidR="00EF0233" w:rsidRDefault="00A13E3F">
      <w:pPr>
        <w:widowControl/>
        <w:jc w:val="both"/>
        <w:rPr>
          <w:b/>
          <w:sz w:val="28"/>
        </w:rPr>
      </w:pPr>
      <w:r>
        <w:rPr>
          <w:b/>
          <w:sz w:val="28"/>
        </w:rPr>
        <w:t>3. Оценка защиты отчета — до 20 баллов</w:t>
      </w: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2125"/>
        <w:gridCol w:w="1135"/>
        <w:gridCol w:w="1276"/>
        <w:gridCol w:w="5673"/>
      </w:tblGrid>
      <w:tr w:rsidR="00EF0233">
        <w:trPr>
          <w:trHeight w:val="398"/>
        </w:trPr>
        <w:tc>
          <w:tcPr>
            <w:tcW w:w="2125" w:type="dxa"/>
          </w:tcPr>
          <w:p w:rsidR="00EF0233" w:rsidRDefault="00A13E3F">
            <w:pPr>
              <w:pStyle w:val="TableParagraph"/>
              <w:ind w:left="14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Наименование </w:t>
            </w:r>
          </w:p>
          <w:p w:rsidR="00EF0233" w:rsidRDefault="00A13E3F">
            <w:pPr>
              <w:pStyle w:val="TableParagraph"/>
              <w:ind w:left="14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критерия </w:t>
            </w:r>
          </w:p>
        </w:tc>
        <w:tc>
          <w:tcPr>
            <w:tcW w:w="1135" w:type="dxa"/>
          </w:tcPr>
          <w:p w:rsidR="00EF0233" w:rsidRDefault="00A13E3F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Макс.</w:t>
            </w:r>
          </w:p>
          <w:p w:rsidR="00EF0233" w:rsidRDefault="00A13E3F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136" w:right="132"/>
              <w:jc w:val="center"/>
              <w:rPr>
                <w:sz w:val="24"/>
              </w:rPr>
            </w:pPr>
            <w:r>
              <w:rPr>
                <w:sz w:val="24"/>
              </w:rPr>
              <w:t>Диапазон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136" w:right="132"/>
              <w:jc w:val="center"/>
              <w:rPr>
                <w:sz w:val="24"/>
              </w:rPr>
            </w:pPr>
            <w:r>
              <w:rPr>
                <w:sz w:val="24"/>
              </w:rPr>
              <w:t>Показатель критерия, позволяющий его оценить в максимальный балл</w:t>
            </w:r>
          </w:p>
        </w:tc>
      </w:tr>
      <w:tr w:rsidR="00EF0233">
        <w:trPr>
          <w:trHeight w:val="696"/>
        </w:trPr>
        <w:tc>
          <w:tcPr>
            <w:tcW w:w="10209" w:type="dxa"/>
            <w:gridSpan w:val="4"/>
          </w:tcPr>
          <w:p w:rsidR="00EF0233" w:rsidRDefault="00A13E3F">
            <w:pPr>
              <w:pStyle w:val="TableParagraph"/>
              <w:ind w:left="136" w:right="132"/>
              <w:rPr>
                <w:sz w:val="24"/>
              </w:rPr>
            </w:pPr>
            <w:r>
              <w:rPr>
                <w:b/>
                <w:sz w:val="24"/>
              </w:rPr>
              <w:t>2. Требования к защите отчета</w:t>
            </w:r>
          </w:p>
        </w:tc>
      </w:tr>
      <w:tr w:rsidR="00EF0233">
        <w:trPr>
          <w:trHeight w:val="696"/>
        </w:trPr>
        <w:tc>
          <w:tcPr>
            <w:tcW w:w="2125" w:type="dxa"/>
            <w:vMerge w:val="restart"/>
          </w:tcPr>
          <w:p w:rsidR="00EF0233" w:rsidRDefault="00A13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2.1 Представление результатов практики</w:t>
            </w:r>
          </w:p>
        </w:tc>
        <w:tc>
          <w:tcPr>
            <w:tcW w:w="1135" w:type="dxa"/>
            <w:vMerge w:val="restart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9–10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>П</w:t>
            </w:r>
            <w:r>
              <w:t>оследовательно и содержательно представляет результаты практики, свободно ориентируется в материалах отчета и аргументированно отвечает на вопросы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6–8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>Основные результаты практики представлены последовательно, обучающийся владеет материалом, допускает о</w:t>
            </w:r>
            <w:r>
              <w:t>тдельные неточности либо неполные ответы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3–5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>Представление результатов неполное, обучающийся затрудняется пояснить отдельные положения отчета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0–2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 xml:space="preserve">Обучающийся не может содержательно представить основные результаты и продемонстрировать владение </w:t>
            </w:r>
            <w:r>
              <w:t>материалом отчета</w:t>
            </w:r>
          </w:p>
        </w:tc>
      </w:tr>
      <w:tr w:rsidR="00EF0233">
        <w:trPr>
          <w:trHeight w:val="696"/>
        </w:trPr>
        <w:tc>
          <w:tcPr>
            <w:tcW w:w="2125" w:type="dxa"/>
            <w:vMerge w:val="restart"/>
          </w:tcPr>
          <w:p w:rsidR="00EF0233" w:rsidRDefault="00A13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2.2 Вклад практической подготовки в профессиональное развитие</w:t>
            </w:r>
          </w:p>
        </w:tc>
        <w:tc>
          <w:tcPr>
            <w:tcW w:w="1135" w:type="dxa"/>
            <w:vMerge w:val="restart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9–10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>обосновывает значение приобретенных знаний и навыков для будущей профессиональной деятельности, оценивает собственный вклад и приводит конкретные примеры применения по</w:t>
            </w:r>
            <w:r>
              <w:t>лученного опыта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6–8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>Демонстрирует понимание профессиональной значимости практики в целом, но собственный вклад или примеры использования опыта раскрыты недостаточно подробно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3–5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 xml:space="preserve">Профессиональная значимость практики характеризуется общими </w:t>
            </w:r>
            <w:r>
              <w:t>формулировками; связь между выполненными задачами и развитием компетенций показана слабо</w:t>
            </w:r>
          </w:p>
        </w:tc>
      </w:tr>
      <w:tr w:rsidR="00EF0233">
        <w:trPr>
          <w:trHeight w:val="696"/>
        </w:trPr>
        <w:tc>
          <w:tcPr>
            <w:tcW w:w="2125" w:type="dxa"/>
            <w:vMerge/>
          </w:tcPr>
          <w:p w:rsidR="00EF0233" w:rsidRDefault="00EF0233"/>
        </w:tc>
        <w:tc>
          <w:tcPr>
            <w:tcW w:w="1135" w:type="dxa"/>
            <w:vMerge/>
          </w:tcPr>
          <w:p w:rsidR="00EF0233" w:rsidRDefault="00EF0233"/>
        </w:tc>
        <w:tc>
          <w:tcPr>
            <w:tcW w:w="1276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0–2</w:t>
            </w:r>
          </w:p>
        </w:tc>
        <w:tc>
          <w:tcPr>
            <w:tcW w:w="5673" w:type="dxa"/>
          </w:tcPr>
          <w:p w:rsidR="00EF0233" w:rsidRDefault="00A13E3F">
            <w:pPr>
              <w:pStyle w:val="TableParagraph"/>
              <w:ind w:left="0"/>
              <w:jc w:val="both"/>
              <w:rPr>
                <w:sz w:val="24"/>
              </w:rPr>
            </w:pPr>
            <w:r>
              <w:t>Понимание значения практики для профессионального развития не продемонстрировано, собственный вклад и приобретенные компетенции не определены</w:t>
            </w:r>
          </w:p>
        </w:tc>
      </w:tr>
      <w:tr w:rsidR="00EF0233">
        <w:trPr>
          <w:trHeight w:val="696"/>
        </w:trPr>
        <w:tc>
          <w:tcPr>
            <w:tcW w:w="2125" w:type="dxa"/>
          </w:tcPr>
          <w:p w:rsidR="00EF0233" w:rsidRDefault="00A13E3F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135" w:type="dxa"/>
          </w:tcPr>
          <w:p w:rsidR="00EF0233" w:rsidRDefault="00A13E3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6949" w:type="dxa"/>
            <w:gridSpan w:val="2"/>
          </w:tcPr>
          <w:p w:rsidR="00EF0233" w:rsidRDefault="00EF0233">
            <w:pPr>
              <w:pStyle w:val="TableParagraph"/>
              <w:ind w:left="0"/>
              <w:jc w:val="both"/>
            </w:pPr>
          </w:p>
        </w:tc>
      </w:tr>
    </w:tbl>
    <w:p w:rsidR="00EF0233" w:rsidRDefault="00EF0233"/>
    <w:p w:rsidR="00EF0233" w:rsidRDefault="00EF0233"/>
    <w:sectPr w:rsidR="00EF0233">
      <w:headerReference w:type="default" r:id="rId6"/>
      <w:pgSz w:w="11906" w:h="16838"/>
      <w:pgMar w:top="993" w:right="850" w:bottom="851" w:left="1134" w:header="708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E3F" w:rsidRDefault="00A13E3F">
      <w:r>
        <w:separator/>
      </w:r>
    </w:p>
  </w:endnote>
  <w:endnote w:type="continuationSeparator" w:id="0">
    <w:p w:rsidR="00A13E3F" w:rsidRDefault="00A13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PT Astra Serif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E3F" w:rsidRDefault="00A13E3F">
      <w:r>
        <w:separator/>
      </w:r>
    </w:p>
  </w:footnote>
  <w:footnote w:type="continuationSeparator" w:id="0">
    <w:p w:rsidR="00A13E3F" w:rsidRDefault="00A13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0233" w:rsidRDefault="00A13E3F">
    <w:pPr>
      <w:pStyle w:val="a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EF0233" w:rsidRDefault="00EF0233">
    <w:pPr>
      <w:pStyle w:val="af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233"/>
    <w:rsid w:val="002A1FCE"/>
    <w:rsid w:val="00A13E3F"/>
    <w:rsid w:val="00EF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62FBE"/>
  <w15:docId w15:val="{5CBBFE6C-F537-464B-8DDD-71EB84320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widowControl/>
      <w:spacing w:before="240"/>
      <w:outlineLvl w:val="0"/>
    </w:pPr>
    <w:rPr>
      <w:rFonts w:asciiTheme="majorHAnsi" w:hAnsiTheme="majorHAnsi"/>
      <w:color w:val="2F5496" w:themeColor="accent1" w:themeShade="BF"/>
      <w:sz w:val="32"/>
    </w:rPr>
  </w:style>
  <w:style w:type="paragraph" w:styleId="2">
    <w:name w:val="heading 2"/>
    <w:basedOn w:val="a"/>
    <w:link w:val="20"/>
    <w:uiPriority w:val="9"/>
    <w:qFormat/>
    <w:pPr>
      <w:widowControl/>
      <w:ind w:left="457" w:right="471"/>
      <w:jc w:val="center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ody Text"/>
    <w:basedOn w:val="a"/>
    <w:link w:val="12"/>
    <w:rPr>
      <w:sz w:val="28"/>
    </w:rPr>
  </w:style>
  <w:style w:type="character" w:customStyle="1" w:styleId="12">
    <w:name w:val="Основной текст Знак1"/>
    <w:basedOn w:val="1"/>
    <w:link w:val="a3"/>
    <w:rPr>
      <w:rFonts w:ascii="Times New Roman" w:hAnsi="Times New Roman"/>
      <w:sz w:val="28"/>
    </w:rPr>
  </w:style>
  <w:style w:type="paragraph" w:customStyle="1" w:styleId="13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4">
    <w:name w:val="index heading"/>
    <w:basedOn w:val="a"/>
    <w:link w:val="a5"/>
    <w:rPr>
      <w:rFonts w:ascii="PT Astra Serif" w:hAnsi="PT Astra Serif"/>
    </w:rPr>
  </w:style>
  <w:style w:type="character" w:customStyle="1" w:styleId="a5">
    <w:name w:val="Указатель Знак"/>
    <w:basedOn w:val="1"/>
    <w:link w:val="a4"/>
    <w:rPr>
      <w:rFonts w:ascii="PT Astra Serif" w:hAnsi="PT Astra Serif"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otnoteCharacters">
    <w:name w:val="Footnote Characters"/>
    <w:basedOn w:val="13"/>
    <w:link w:val="FootnoteCharacters0"/>
    <w:rPr>
      <w:vertAlign w:val="superscript"/>
    </w:rPr>
  </w:style>
  <w:style w:type="character" w:customStyle="1" w:styleId="FootnoteCharacters0">
    <w:name w:val="Footnote Characters"/>
    <w:basedOn w:val="a0"/>
    <w:link w:val="FootnoteCharacters"/>
    <w:rPr>
      <w:vertAlign w:val="superscript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6">
    <w:name w:val="footer"/>
    <w:basedOn w:val="a"/>
    <w:link w:val="14"/>
    <w:pPr>
      <w:widowControl/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1"/>
    <w:link w:val="a6"/>
    <w:rPr>
      <w:rFonts w:ascii="Times New Roman" w:hAnsi="Times New Roman"/>
      <w:sz w:val="22"/>
    </w:rPr>
  </w:style>
  <w:style w:type="paragraph" w:customStyle="1" w:styleId="a7">
    <w:name w:val="Символ концевой сноски"/>
    <w:link w:val="a8"/>
  </w:style>
  <w:style w:type="character" w:customStyle="1" w:styleId="a8">
    <w:name w:val="Символ концевой сноски"/>
    <w:link w:val="a7"/>
  </w:style>
  <w:style w:type="paragraph" w:customStyle="1" w:styleId="a9">
    <w:name w:val="Привязка сноски"/>
    <w:link w:val="aa"/>
    <w:rPr>
      <w:vertAlign w:val="superscript"/>
    </w:rPr>
  </w:style>
  <w:style w:type="character" w:customStyle="1" w:styleId="aa">
    <w:name w:val="Привязка сноски"/>
    <w:link w:val="a9"/>
    <w:rPr>
      <w:vertAlign w:val="superscript"/>
    </w:rPr>
  </w:style>
  <w:style w:type="paragraph" w:styleId="ab">
    <w:name w:val="Balloon Text"/>
    <w:basedOn w:val="a"/>
    <w:link w:val="15"/>
    <w:rPr>
      <w:rFonts w:ascii="Segoe UI" w:hAnsi="Segoe UI"/>
      <w:sz w:val="18"/>
    </w:rPr>
  </w:style>
  <w:style w:type="character" w:customStyle="1" w:styleId="15">
    <w:name w:val="Текст выноски Знак1"/>
    <w:basedOn w:val="1"/>
    <w:link w:val="ab"/>
    <w:rPr>
      <w:rFonts w:ascii="Segoe UI" w:hAnsi="Segoe UI"/>
      <w:sz w:val="18"/>
    </w:rPr>
  </w:style>
  <w:style w:type="paragraph" w:customStyle="1" w:styleId="ac">
    <w:name w:val="Текст сноски Знак"/>
    <w:basedOn w:val="13"/>
    <w:link w:val="ad"/>
    <w:rPr>
      <w:rFonts w:ascii="Times New Roman" w:hAnsi="Times New Roman"/>
      <w:sz w:val="20"/>
    </w:rPr>
  </w:style>
  <w:style w:type="character" w:customStyle="1" w:styleId="ad">
    <w:name w:val="Текст сноски Знак"/>
    <w:basedOn w:val="a0"/>
    <w:link w:val="ac"/>
    <w:rPr>
      <w:rFonts w:ascii="Times New Roman" w:hAnsi="Times New Roman"/>
      <w:sz w:val="20"/>
    </w:rPr>
  </w:style>
  <w:style w:type="paragraph" w:customStyle="1" w:styleId="ae">
    <w:name w:val="Верхний и нижний колонтитулы"/>
    <w:basedOn w:val="a"/>
    <w:link w:val="af"/>
  </w:style>
  <w:style w:type="character" w:customStyle="1" w:styleId="af">
    <w:name w:val="Верхний и нижний колонтитулы"/>
    <w:basedOn w:val="1"/>
    <w:link w:val="ae"/>
    <w:rPr>
      <w:rFonts w:ascii="Times New Roman" w:hAnsi="Times New Roman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Default">
    <w:name w:val="Default"/>
    <w:link w:val="Default0"/>
    <w:rPr>
      <w:rFonts w:ascii="Times New Roman" w:hAnsi="Times New Roman"/>
    </w:rPr>
  </w:style>
  <w:style w:type="character" w:customStyle="1" w:styleId="Default0">
    <w:name w:val="Default"/>
    <w:link w:val="Default"/>
    <w:rPr>
      <w:rFonts w:ascii="Times New Roman" w:hAnsi="Times New Roman"/>
      <w:color w:val="000000"/>
    </w:rPr>
  </w:style>
  <w:style w:type="paragraph" w:customStyle="1" w:styleId="af0">
    <w:name w:val="Символ сноски"/>
    <w:link w:val="af1"/>
  </w:style>
  <w:style w:type="character" w:customStyle="1" w:styleId="af1">
    <w:name w:val="Символ сноски"/>
    <w:link w:val="af0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32"/>
    </w:rPr>
  </w:style>
  <w:style w:type="paragraph" w:customStyle="1" w:styleId="16">
    <w:name w:val="Гиперссылка1"/>
    <w:link w:val="af2"/>
    <w:rPr>
      <w:color w:val="0000FF"/>
      <w:u w:val="single"/>
    </w:rPr>
  </w:style>
  <w:style w:type="character" w:styleId="af2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3">
    <w:name w:val="Нижний колонтитул Знак"/>
    <w:basedOn w:val="13"/>
    <w:link w:val="af4"/>
    <w:rPr>
      <w:rFonts w:ascii="Times New Roman" w:hAnsi="Times New Roman"/>
      <w:sz w:val="22"/>
    </w:rPr>
  </w:style>
  <w:style w:type="character" w:customStyle="1" w:styleId="af4">
    <w:name w:val="Нижний колонтитул Знак"/>
    <w:basedOn w:val="a0"/>
    <w:link w:val="af3"/>
    <w:rPr>
      <w:rFonts w:ascii="Times New Roman" w:hAnsi="Times New Roman"/>
      <w:sz w:val="22"/>
    </w:rPr>
  </w:style>
  <w:style w:type="paragraph" w:styleId="af5">
    <w:name w:val="List"/>
    <w:basedOn w:val="a3"/>
    <w:link w:val="af6"/>
    <w:rPr>
      <w:rFonts w:ascii="PT Astra Serif" w:hAnsi="PT Astra Serif"/>
    </w:rPr>
  </w:style>
  <w:style w:type="character" w:customStyle="1" w:styleId="af6">
    <w:name w:val="Список Знак"/>
    <w:basedOn w:val="12"/>
    <w:link w:val="af5"/>
    <w:rPr>
      <w:rFonts w:ascii="PT Astra Serif" w:hAnsi="PT Astra Serif"/>
      <w:sz w:val="28"/>
    </w:rPr>
  </w:style>
  <w:style w:type="paragraph" w:styleId="af7">
    <w:name w:val="caption"/>
    <w:basedOn w:val="a"/>
    <w:link w:val="af8"/>
    <w:pPr>
      <w:widowControl/>
      <w:spacing w:before="120" w:after="120"/>
    </w:pPr>
    <w:rPr>
      <w:rFonts w:ascii="PT Astra Serif" w:hAnsi="PT Astra Serif"/>
      <w:i/>
      <w:sz w:val="24"/>
    </w:rPr>
  </w:style>
  <w:style w:type="character" w:customStyle="1" w:styleId="af8">
    <w:name w:val="Название объекта Знак"/>
    <w:basedOn w:val="1"/>
    <w:link w:val="af7"/>
    <w:rPr>
      <w:rFonts w:ascii="PT Astra Serif" w:hAnsi="PT Astra Serif"/>
      <w:i/>
      <w:sz w:val="24"/>
    </w:rPr>
  </w:style>
  <w:style w:type="paragraph" w:customStyle="1" w:styleId="TableParagraph">
    <w:name w:val="Table Paragraph"/>
    <w:basedOn w:val="a"/>
    <w:link w:val="TableParagraph0"/>
    <w:pPr>
      <w:widowControl/>
      <w:ind w:left="107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9">
    <w:name w:val="Основной текст Знак"/>
    <w:basedOn w:val="13"/>
    <w:link w:val="afa"/>
    <w:rPr>
      <w:rFonts w:ascii="Times New Roman" w:hAnsi="Times New Roman"/>
      <w:sz w:val="28"/>
    </w:rPr>
  </w:style>
  <w:style w:type="character" w:customStyle="1" w:styleId="afa">
    <w:name w:val="Основной текст Знак"/>
    <w:basedOn w:val="a0"/>
    <w:link w:val="af9"/>
    <w:rPr>
      <w:rFonts w:ascii="Times New Roman" w:hAnsi="Times New Roman"/>
      <w:sz w:val="28"/>
    </w:rPr>
  </w:style>
  <w:style w:type="paragraph" w:customStyle="1" w:styleId="afb">
    <w:name w:val="Текст выноски Знак"/>
    <w:basedOn w:val="13"/>
    <w:link w:val="afc"/>
    <w:rPr>
      <w:rFonts w:ascii="Segoe UI" w:hAnsi="Segoe UI"/>
      <w:sz w:val="18"/>
    </w:rPr>
  </w:style>
  <w:style w:type="character" w:customStyle="1" w:styleId="afc">
    <w:name w:val="Текст выноски Знак"/>
    <w:basedOn w:val="a0"/>
    <w:link w:val="afb"/>
    <w:rPr>
      <w:rFonts w:ascii="Segoe UI" w:hAnsi="Segoe UI"/>
      <w:sz w:val="18"/>
    </w:rPr>
  </w:style>
  <w:style w:type="paragraph" w:customStyle="1" w:styleId="afd">
    <w:name w:val="Верхний колонтитул Знак"/>
    <w:basedOn w:val="13"/>
    <w:link w:val="afe"/>
    <w:rPr>
      <w:rFonts w:ascii="Times New Roman" w:hAnsi="Times New Roman"/>
      <w:sz w:val="22"/>
    </w:rPr>
  </w:style>
  <w:style w:type="character" w:customStyle="1" w:styleId="afe">
    <w:name w:val="Верхний колонтитул Знак"/>
    <w:basedOn w:val="a0"/>
    <w:link w:val="afd"/>
    <w:rPr>
      <w:rFonts w:ascii="Times New Roman" w:hAnsi="Times New Roman"/>
      <w:sz w:val="22"/>
    </w:rPr>
  </w:style>
  <w:style w:type="paragraph" w:styleId="aff">
    <w:name w:val="header"/>
    <w:basedOn w:val="a"/>
    <w:link w:val="19"/>
    <w:pPr>
      <w:widowControl/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1"/>
    <w:link w:val="aff"/>
    <w:rPr>
      <w:rFonts w:ascii="Times New Roman" w:hAnsi="Times New Roman"/>
      <w:sz w:val="22"/>
    </w:rPr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customStyle="1" w:styleId="aff2">
    <w:name w:val="Привязка концевой сноски"/>
    <w:link w:val="aff3"/>
    <w:rPr>
      <w:vertAlign w:val="superscript"/>
    </w:rPr>
  </w:style>
  <w:style w:type="character" w:customStyle="1" w:styleId="aff3">
    <w:name w:val="Привязка концевой сноски"/>
    <w:link w:val="aff2"/>
    <w:rPr>
      <w:vertAlign w:val="superscript"/>
    </w:rPr>
  </w:style>
  <w:style w:type="paragraph" w:styleId="aff4">
    <w:name w:val="Title"/>
    <w:basedOn w:val="a"/>
    <w:next w:val="a3"/>
    <w:link w:val="aff5"/>
    <w:uiPriority w:val="10"/>
    <w:qFormat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aff5">
    <w:name w:val="Заголовок Знак"/>
    <w:basedOn w:val="1"/>
    <w:link w:val="aff4"/>
    <w:rPr>
      <w:rFonts w:ascii="PT Astra Serif" w:hAnsi="PT Astra Serif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8"/>
    </w:rPr>
  </w:style>
  <w:style w:type="table" w:customStyle="1" w:styleId="TableNormal">
    <w:name w:val="Table Normal"/>
    <w:rPr>
      <w:sz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1251</Words>
  <Characters>7134</Characters>
  <Application>Microsoft Office Word</Application>
  <DocSecurity>0</DocSecurity>
  <Lines>59</Lines>
  <Paragraphs>16</Paragraphs>
  <ScaleCrop>false</ScaleCrop>
  <Company/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Руднева Дарья Викторовна</cp:lastModifiedBy>
  <cp:revision>2</cp:revision>
  <dcterms:created xsi:type="dcterms:W3CDTF">2021-02-11T06:36:00Z</dcterms:created>
  <dcterms:modified xsi:type="dcterms:W3CDTF">2026-11-02T08:22:00Z</dcterms:modified>
</cp:coreProperties>
</file>