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Краснодарском филиале Финуниверситета на сайте Финансового университета</w:t>
      </w:r>
    </w:p>
    <w:p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объявлен конкурс на замещение должностей </w:t>
      </w:r>
      <w:r>
        <w:rPr>
          <w:b/>
          <w:sz w:val="28"/>
          <w:szCs w:val="28"/>
        </w:rPr>
        <w:br w:type="textWrapping"/>
      </w:r>
      <w:r>
        <w:rPr>
          <w:b/>
          <w:sz w:val="28"/>
          <w:szCs w:val="28"/>
        </w:rPr>
        <w:t xml:space="preserve">профессорско-преподавательского состава </w:t>
      </w:r>
    </w:p>
    <w:p>
      <w:pPr>
        <w:ind w:left="-567"/>
        <w:jc w:val="center"/>
        <w:rPr>
          <w:b/>
          <w:sz w:val="28"/>
          <w:szCs w:val="28"/>
        </w:rPr>
      </w:pPr>
    </w:p>
    <w:p>
      <w:pPr>
        <w:ind w:left="-567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Окончательная дата приема заявлений для участия в конкурсе </w:t>
      </w:r>
      <w:r>
        <w:rPr>
          <w:rFonts w:hint="default"/>
          <w:b/>
          <w:bCs/>
          <w:sz w:val="28"/>
          <w:szCs w:val="28"/>
          <w:lang w:val="ru-RU"/>
        </w:rPr>
        <w:t>20</w:t>
      </w:r>
      <w:r>
        <w:rPr>
          <w:b/>
          <w:bCs/>
          <w:sz w:val="28"/>
          <w:szCs w:val="28"/>
        </w:rPr>
        <w:t>.</w:t>
      </w:r>
      <w:r>
        <w:rPr>
          <w:b/>
          <w:sz w:val="28"/>
          <w:szCs w:val="28"/>
        </w:rPr>
        <w:t>05.202</w:t>
      </w:r>
      <w:r>
        <w:rPr>
          <w:rFonts w:hint="default"/>
          <w:b/>
          <w:sz w:val="28"/>
          <w:szCs w:val="28"/>
          <w:lang w:val="ru-RU"/>
        </w:rPr>
        <w:t>3</w:t>
      </w:r>
      <w:r>
        <w:rPr>
          <w:b/>
          <w:sz w:val="28"/>
          <w:szCs w:val="28"/>
        </w:rPr>
        <w:t xml:space="preserve"> года.</w:t>
      </w:r>
    </w:p>
    <w:p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</w:t>
      </w:r>
      <w:r>
        <w:rPr>
          <w:rFonts w:hint="default"/>
          <w:b/>
          <w:bCs/>
          <w:sz w:val="28"/>
          <w:szCs w:val="28"/>
          <w:lang w:val="ru-RU"/>
        </w:rPr>
        <w:t>20</w:t>
      </w:r>
      <w:r>
        <w:rPr>
          <w:b/>
          <w:bCs/>
          <w:sz w:val="28"/>
          <w:szCs w:val="28"/>
        </w:rPr>
        <w:t>.06.</w:t>
      </w:r>
      <w:r>
        <w:rPr>
          <w:b/>
          <w:sz w:val="28"/>
          <w:szCs w:val="28"/>
        </w:rPr>
        <w:t>202</w:t>
      </w:r>
      <w:r>
        <w:rPr>
          <w:rFonts w:hint="default"/>
          <w:b/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года по адресу: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 г. Краснодар, ул. Шоссе Нефтяников, д.32</w:t>
      </w:r>
      <w:r>
        <w:rPr>
          <w:rFonts w:hint="default"/>
          <w:sz w:val="28"/>
          <w:szCs w:val="28"/>
          <w:lang w:val="ru-RU"/>
        </w:rPr>
        <w:t xml:space="preserve">, аудитория </w:t>
      </w:r>
      <w:bookmarkStart w:id="0" w:name="_GoBack"/>
      <w:bookmarkEnd w:id="0"/>
      <w:r>
        <w:rPr>
          <w:sz w:val="28"/>
          <w:szCs w:val="28"/>
        </w:rPr>
        <w:t>№ 52.</w:t>
      </w:r>
    </w:p>
    <w:p>
      <w:pPr>
        <w:ind w:left="-567"/>
        <w:jc w:val="center"/>
        <w:rPr>
          <w:b/>
          <w:bCs/>
          <w:sz w:val="28"/>
          <w:szCs w:val="28"/>
          <w:lang w:val="ru-RU"/>
        </w:rPr>
      </w:pPr>
    </w:p>
    <w:p>
      <w:pPr>
        <w:ind w:left="-567"/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Перечень</w:t>
      </w:r>
      <w:r>
        <w:rPr>
          <w:rFonts w:hint="default"/>
          <w:b/>
          <w:bCs/>
          <w:sz w:val="28"/>
          <w:szCs w:val="28"/>
          <w:lang w:val="ru-RU"/>
        </w:rPr>
        <w:t xml:space="preserve"> должностей ППС</w:t>
      </w:r>
    </w:p>
    <w:tbl>
      <w:tblPr>
        <w:tblStyle w:val="3"/>
        <w:tblW w:w="0" w:type="auto"/>
        <w:tblInd w:w="-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1754"/>
        <w:gridCol w:w="750"/>
        <w:gridCol w:w="62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1" w:type="dxa"/>
            <w:tcBorders>
              <w:bottom w:val="single" w:color="000000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Кафедра</w:t>
            </w:r>
          </w:p>
        </w:tc>
        <w:tc>
          <w:tcPr>
            <w:tcW w:w="1754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750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Ставка</w:t>
            </w:r>
          </w:p>
        </w:tc>
        <w:tc>
          <w:tcPr>
            <w:tcW w:w="6206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Профиль дисциплин, предполагаемых к реализации (группы дисциплин)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6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591" w:type="dxa"/>
            <w:vMerge w:val="restart"/>
            <w:tcBorders>
              <w:top w:val="single" w:color="000000" w:sz="4" w:space="0"/>
            </w:tcBorders>
            <w:noWrap w:val="0"/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Менеджмент и маркетинг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1,00</w:t>
            </w:r>
          </w:p>
        </w:tc>
        <w:tc>
          <w:tcPr>
            <w:tcW w:w="6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</w:pPr>
            <w:r>
              <w:rPr>
                <w:rFonts w:ascii="Times New Roman" w:hAnsi="Times New Roman" w:eastAsia="Times New Roman" w:cs="Times New Roman"/>
              </w:rPr>
              <w:t>Теория организации</w:t>
            </w:r>
            <w:r>
              <w:rPr>
                <w:rFonts w:hint="default" w:cs="Times New Roman"/>
                <w:lang w:val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</w:rPr>
              <w:t>Теория и история менеджмента</w:t>
            </w:r>
          </w:p>
          <w:p>
            <w:pPr>
              <w:snapToGrid w:val="0"/>
            </w:pPr>
            <w:r>
              <w:rPr>
                <w:rFonts w:ascii="Times New Roman" w:hAnsi="Times New Roman" w:eastAsia="Times New Roman" w:cs="Times New Roman"/>
              </w:rPr>
              <w:t>Управление человеческими ресурсами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591" w:type="dxa"/>
            <w:vMerge w:val="continue"/>
            <w:tcBorders>
              <w:top w:val="single" w:color="000000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1,00</w:t>
            </w:r>
          </w:p>
        </w:tc>
        <w:tc>
          <w:tcPr>
            <w:tcW w:w="6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</w:pPr>
            <w:r>
              <w:rPr>
                <w:rFonts w:ascii="Times New Roman" w:hAnsi="Times New Roman" w:eastAsia="Times New Roman" w:cs="Times New Roman"/>
              </w:rPr>
              <w:t>Антикризисное управление</w:t>
            </w:r>
          </w:p>
          <w:p>
            <w:pPr>
              <w:snapToGrid w:val="0"/>
            </w:pPr>
            <w:r>
              <w:rPr>
                <w:rFonts w:ascii="Times New Roman" w:hAnsi="Times New Roman" w:eastAsia="Times New Roman" w:cs="Times New Roman"/>
              </w:rPr>
              <w:t>Инновации и современные модели бизнеса</w:t>
            </w:r>
          </w:p>
          <w:p>
            <w:pPr>
              <w:snapToGrid w:val="0"/>
            </w:pPr>
            <w:r>
              <w:rPr>
                <w:rFonts w:ascii="Times New Roman" w:hAnsi="Times New Roman" w:eastAsia="Times New Roman" w:cs="Times New Roman"/>
              </w:rPr>
              <w:t>Менеджмент</w:t>
            </w:r>
            <w:r>
              <w:rPr>
                <w:rFonts w:hint="default" w:cs="Times New Roman"/>
                <w:lang w:val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</w:rPr>
              <w:t>Методы принятия управленческих решений</w:t>
            </w:r>
          </w:p>
          <w:p>
            <w:pPr>
              <w:snapToGrid w:val="0"/>
            </w:pPr>
            <w:r>
              <w:rPr>
                <w:rFonts w:ascii="Times New Roman" w:hAnsi="Times New Roman" w:eastAsia="Times New Roman" w:cs="Times New Roman"/>
              </w:rPr>
              <w:t>Основы бизнеса</w:t>
            </w:r>
            <w:r>
              <w:rPr>
                <w:rFonts w:hint="default" w:cs="Times New Roman"/>
                <w:lang w:val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</w:rPr>
              <w:t>Риск-менеджмент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591" w:type="dxa"/>
            <w:vMerge w:val="restart"/>
            <w:tcBorders>
              <w:top w:val="single" w:color="000000" w:sz="4" w:space="0"/>
            </w:tcBorders>
            <w:noWrap w:val="0"/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Профессор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1,00</w:t>
            </w:r>
          </w:p>
        </w:tc>
        <w:tc>
          <w:tcPr>
            <w:tcW w:w="6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Алгоритмы и структуры данных в языке Python</w:t>
            </w:r>
          </w:p>
          <w:p>
            <w:pPr>
              <w:snapToGrid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 xml:space="preserve">Анализ данных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591" w:type="dxa"/>
            <w:vMerge w:val="continue"/>
            <w:tcBorders>
              <w:top w:val="single" w:color="000000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1,00</w:t>
            </w:r>
          </w:p>
        </w:tc>
        <w:tc>
          <w:tcPr>
            <w:tcW w:w="6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</w:pPr>
            <w:r>
              <w:rPr>
                <w:rFonts w:ascii="Times New Roman" w:hAnsi="Times New Roman" w:eastAsia="Times New Roman" w:cs="Times New Roman"/>
              </w:rPr>
              <w:t xml:space="preserve">Информационные технологии управления проектами </w:t>
            </w:r>
          </w:p>
          <w:p>
            <w:pPr>
              <w:snapToGrid w:val="0"/>
            </w:pPr>
            <w:r>
              <w:rPr>
                <w:rFonts w:ascii="Times New Roman" w:hAnsi="Times New Roman" w:eastAsia="Times New Roman" w:cs="Times New Roman"/>
              </w:rPr>
              <w:t>Информационные системы управления организацией</w:t>
            </w:r>
          </w:p>
          <w:p>
            <w:pPr>
              <w:snapToGrid w:val="0"/>
            </w:pPr>
            <w:r>
              <w:rPr>
                <w:rFonts w:ascii="Times New Roman" w:hAnsi="Times New Roman" w:eastAsia="Times New Roman" w:cs="Times New Roman"/>
              </w:rPr>
              <w:t>ИТ-стандарты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591" w:type="dxa"/>
            <w:vMerge w:val="continue"/>
            <w:tcBorders>
              <w:top w:val="single" w:color="000000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0,50</w:t>
            </w:r>
          </w:p>
        </w:tc>
        <w:tc>
          <w:tcPr>
            <w:tcW w:w="6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</w:pPr>
            <w:r>
              <w:rPr>
                <w:rFonts w:ascii="Times New Roman" w:hAnsi="Times New Roman" w:eastAsia="Times New Roman" w:cs="Times New Roman"/>
              </w:rPr>
              <w:t>Математические методы  принятия решений</w:t>
            </w:r>
          </w:p>
          <w:p>
            <w:pPr>
              <w:snapToGrid w:val="0"/>
            </w:pPr>
            <w:r>
              <w:rPr>
                <w:rFonts w:ascii="Times New Roman" w:hAnsi="Times New Roman" w:eastAsia="Times New Roman" w:cs="Times New Roman"/>
              </w:rPr>
              <w:t>Математические методы  прогнозирования</w:t>
            </w:r>
          </w:p>
          <w:p>
            <w:pPr>
              <w:snapToGrid w:val="0"/>
            </w:pPr>
            <w:r>
              <w:rPr>
                <w:rFonts w:ascii="Times New Roman" w:hAnsi="Times New Roman" w:eastAsia="Times New Roman" w:cs="Times New Roman"/>
              </w:rPr>
              <w:t>Математическое обеспечение финансовых решений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701" w:hRule="atLeast"/>
        </w:trPr>
        <w:tc>
          <w:tcPr>
            <w:tcW w:w="1591" w:type="dxa"/>
            <w:vMerge w:val="continue"/>
            <w:tcBorders>
              <w:top w:val="single" w:color="000000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6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</w:pPr>
            <w:r>
              <w:rPr>
                <w:rFonts w:ascii="Times New Roman" w:hAnsi="Times New Roman" w:eastAsia="Times New Roman" w:cs="Times New Roman"/>
              </w:rPr>
              <w:t>Эконометрика</w:t>
            </w:r>
          </w:p>
          <w:p>
            <w:pPr>
              <w:snapToGrid w:val="0"/>
            </w:pPr>
            <w:r>
              <w:rPr>
                <w:rFonts w:ascii="Times New Roman" w:hAnsi="Times New Roman" w:eastAsia="Times New Roman" w:cs="Times New Roman"/>
              </w:rPr>
              <w:t>Эконометрическое моделирование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591" w:type="dxa"/>
            <w:vMerge w:val="continue"/>
            <w:tcBorders>
              <w:top w:val="single" w:color="000000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0,25</w:t>
            </w:r>
          </w:p>
        </w:tc>
        <w:tc>
          <w:tcPr>
            <w:tcW w:w="6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</w:pPr>
            <w:r>
              <w:rPr>
                <w:rFonts w:ascii="Times New Roman" w:hAnsi="Times New Roman" w:eastAsia="Times New Roman" w:cs="Times New Roman"/>
              </w:rPr>
              <w:t>Информационные технологии визуализации бизнес-информации</w:t>
            </w:r>
            <w:r>
              <w:rPr>
                <w:rFonts w:hint="default" w:cs="Times New Roman"/>
                <w:lang w:val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</w:rPr>
              <w:t>Системный анализ деятельности предприятия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591" w:type="dxa"/>
            <w:vMerge w:val="continue"/>
            <w:tcBorders>
              <w:top w:val="single" w:color="000000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Старший преподаватель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1,00</w:t>
            </w:r>
          </w:p>
        </w:tc>
        <w:tc>
          <w:tcPr>
            <w:tcW w:w="6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</w:p>
          <w:p>
            <w:pPr>
              <w:snapToGrid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Математические методы принятия решений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591" w:type="dxa"/>
            <w:vMerge w:val="restart"/>
            <w:tcBorders>
              <w:top w:val="single" w:color="000000" w:sz="4" w:space="0"/>
            </w:tcBorders>
            <w:noWrap w:val="0"/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Экономика и финансы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Профессор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0,50</w:t>
            </w:r>
          </w:p>
        </w:tc>
        <w:tc>
          <w:tcPr>
            <w:tcW w:w="6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Инвестиции</w:t>
            </w:r>
            <w:r>
              <w:rPr>
                <w:rFonts w:hint="default" w:cs="Times New Roman"/>
                <w:lang w:val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</w:rPr>
              <w:t>Страхование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91" w:type="dxa"/>
            <w:vMerge w:val="continue"/>
            <w:tcBorders>
              <w:top w:val="single" w:color="000000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noWrap w:val="0"/>
            <w:vAlign w:val="top"/>
          </w:tcPr>
          <w:p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0,50</w:t>
            </w:r>
          </w:p>
        </w:tc>
        <w:tc>
          <w:tcPr>
            <w:tcW w:w="62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Финансы организаций</w:t>
            </w:r>
            <w:r>
              <w:rPr>
                <w:rFonts w:hint="default" w:cs="Times New Roman"/>
                <w:lang w:val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</w:rPr>
              <w:t>Экономическая статистика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591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Философия, история и право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Старший преподаватель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1,00</w:t>
            </w:r>
          </w:p>
        </w:tc>
        <w:tc>
          <w:tcPr>
            <w:tcW w:w="6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</w:rPr>
              <w:t>Английский язык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591" w:type="dxa"/>
            <w:vMerge w:val="continue"/>
            <w:tcBorders>
              <w:top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Старший преподаватель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62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</w:rPr>
              <w:t>Физическая культура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591" w:type="dxa"/>
            <w:vMerge w:val="continue"/>
            <w:tcBorders>
              <w:top w:val="single" w:color="000000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0,50</w:t>
            </w:r>
          </w:p>
        </w:tc>
        <w:tc>
          <w:tcPr>
            <w:tcW w:w="6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</w:rPr>
              <w:t>Физическая культура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591" w:type="dxa"/>
            <w:vMerge w:val="continue"/>
            <w:tcBorders>
              <w:top w:val="single" w:color="000000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</w:tcBorders>
            <w:noWrap w:val="0"/>
            <w:vAlign w:val="top"/>
          </w:tcPr>
          <w:p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Старший преподаватель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0,25</w:t>
            </w:r>
          </w:p>
        </w:tc>
        <w:tc>
          <w:tcPr>
            <w:tcW w:w="6206" w:type="dxa"/>
            <w:tcBorders>
              <w:top w:val="single" w:color="000000" w:sz="4" w:space="0"/>
              <w:left w:val="single" w:color="000000" w:sz="4" w:space="0"/>
            </w:tcBorders>
            <w:noWrap w:val="0"/>
            <w:vAlign w:val="top"/>
          </w:tcPr>
          <w:p>
            <w:pPr>
              <w:snapToGrid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Информационное право</w:t>
            </w:r>
          </w:p>
          <w:p>
            <w:pPr>
              <w:snapToGrid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Правовое регулирование экономической деятельности</w:t>
            </w:r>
          </w:p>
          <w:p>
            <w:pPr>
              <w:snapToGrid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Правовое и документационное обеспечение профессиональной деятельности в туризме</w:t>
            </w:r>
          </w:p>
        </w:tc>
      </w:tr>
    </w:tbl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/>
    <w:sectPr>
      <w:pgSz w:w="11906" w:h="16838"/>
      <w:pgMar w:top="654" w:right="850" w:bottom="539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1AF"/>
    <w:rsid w:val="003931AF"/>
    <w:rsid w:val="009C5276"/>
    <w:rsid w:val="00E06AE1"/>
    <w:rsid w:val="02A050E6"/>
    <w:rsid w:val="6BDD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otnotes" Target="footnote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6" Type="http://schemas.openxmlformats.org/officeDocument/2006/relationships/fontTable" Target="fontTable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FCDC03D34AABA409FB378ECD6F3CA47" ma:contentTypeVersion="0" ma:contentTypeDescription="Создание документа." ma:contentTypeScope="" ma:versionID="f16f8aa16b00217d553fa9113ba916c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799C08-5945-4B90-A49C-71BB119AD43D}"/>
</file>

<file path=customXml/itemProps2.xml><?xml version="1.0" encoding="utf-8"?>
<ds:datastoreItem xmlns:ds="http://schemas.openxmlformats.org/officeDocument/2006/customXml" ds:itemID="{22E1FA79-9296-4781-812F-24A9D5EA6821}"/>
</file>

<file path=customXml/itemProps3.xml><?xml version="1.0" encoding="utf-8"?>
<ds:datastoreItem xmlns:ds="http://schemas.openxmlformats.org/officeDocument/2006/customXml" ds:itemID="{56EB6B5E-AE94-4EB0-8F77-1F24E7453D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280</Characters>
  <Lines>2</Lines>
  <Paragraphs>1</Paragraphs>
  <TotalTime>7</TotalTime>
  <ScaleCrop>false</ScaleCrop>
  <LinksUpToDate>false</LinksUpToDate>
  <CharactersWithSpaces>328</CharactersWithSpaces>
  <Application>WPS Office_11.2.0.11536_F1E327BC-269C-435d-A152-05C5408002CA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Пичугова</dc:creator>
  <cp:lastModifiedBy>Secretar</cp:lastModifiedBy>
  <cp:revision>2</cp:revision>
  <dcterms:created xsi:type="dcterms:W3CDTF">2021-04-19T05:56:00Z</dcterms:created>
  <dcterms:modified xsi:type="dcterms:W3CDTF">2023-04-24T10:02:06Z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80E9D03C723B446B8B87B216788D429A</vt:lpwstr>
  </property>
  <property fmtid="{D5CDD505-2E9C-101B-9397-08002B2CF9AE}" pid="4" name="ContentTypeId">
    <vt:lpwstr>0x0101007FCDC03D34AABA409FB378ECD6F3CA47</vt:lpwstr>
  </property>
</Properties>
</file>