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E60FDB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2A64CA" w:rsidRPr="002A64CA">
        <w:rPr>
          <w:rFonts w:ascii="Times New Roman" w:hAnsi="Times New Roman" w:cs="Times New Roman"/>
          <w:sz w:val="24"/>
          <w:szCs w:val="24"/>
        </w:rPr>
        <w:t>Государственный финансовый контроль и цифровое казначейство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2A64CA" w:rsidRPr="002A64CA">
        <w:rPr>
          <w:rFonts w:ascii="Times New Roman" w:hAnsi="Times New Roman" w:cs="Times New Roman"/>
          <w:sz w:val="24"/>
          <w:szCs w:val="24"/>
        </w:rPr>
        <w:t>Государственный финансовый контроль и цифровое казначейство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2A64CA">
        <w:rPr>
          <w:rFonts w:ascii="Times New Roman" w:hAnsi="Times New Roman" w:cs="Times New Roman"/>
          <w:sz w:val="24"/>
          <w:szCs w:val="24"/>
        </w:rPr>
        <w:t>38.03.01 Экономика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254F35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2A64CA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7107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2025-04-21T08:16:00Z</dcterms:created>
  <dcterms:modified xsi:type="dcterms:W3CDTF">2025-04-21T08:31:00Z</dcterms:modified>
</cp:coreProperties>
</file>