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8B731" w14:textId="77777777" w:rsidR="008B1A8D" w:rsidRPr="008B1A8D" w:rsidRDefault="008B1A8D" w:rsidP="008B1A8D">
      <w:pPr>
        <w:widowControl w:val="0"/>
        <w:autoSpaceDE w:val="0"/>
        <w:autoSpaceDN w:val="0"/>
        <w:spacing w:after="0" w:line="240" w:lineRule="auto"/>
        <w:ind w:right="25"/>
        <w:jc w:val="center"/>
        <w:rPr>
          <w:rFonts w:eastAsia="Calibri"/>
          <w:color w:val="auto"/>
          <w:u w:val="none"/>
        </w:rPr>
      </w:pPr>
      <w:r w:rsidRPr="008B1A8D">
        <w:rPr>
          <w:rFonts w:eastAsia="Times New Roman"/>
          <w:b/>
          <w:bCs/>
          <w:color w:val="auto"/>
          <w:u w:val="none"/>
        </w:rPr>
        <w:t>Примерный перечень тем выпускных квалификационных работ</w:t>
      </w:r>
    </w:p>
    <w:p w14:paraId="00A88E13" w14:textId="77777777" w:rsidR="008B1A8D" w:rsidRPr="008B1A8D" w:rsidRDefault="008B1A8D" w:rsidP="008B1A8D">
      <w:pPr>
        <w:widowControl w:val="0"/>
        <w:tabs>
          <w:tab w:val="left" w:pos="1134"/>
          <w:tab w:val="left" w:pos="1276"/>
        </w:tabs>
        <w:autoSpaceDE w:val="0"/>
        <w:autoSpaceDN w:val="0"/>
        <w:spacing w:after="0" w:line="360" w:lineRule="auto"/>
        <w:ind w:left="709" w:right="25"/>
        <w:jc w:val="both"/>
        <w:rPr>
          <w:rFonts w:eastAsia="Times New Roman"/>
          <w:color w:val="auto"/>
          <w:szCs w:val="22"/>
          <w:u w:val="none"/>
        </w:rPr>
      </w:pPr>
    </w:p>
    <w:p w14:paraId="5D5F1604" w14:textId="77777777" w:rsidR="008B1A8D" w:rsidRPr="008B1A8D" w:rsidRDefault="008B1A8D" w:rsidP="008B1A8D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362" w:lineRule="auto"/>
        <w:ind w:left="0" w:right="25" w:firstLine="709"/>
        <w:jc w:val="both"/>
        <w:rPr>
          <w:rFonts w:eastAsia="Times New Roman"/>
          <w:color w:val="auto"/>
          <w:u w:val="none"/>
          <w:lang w:eastAsia="ru-RU"/>
        </w:rPr>
      </w:pPr>
      <w:bookmarkStart w:id="0" w:name="_Hlk178404385"/>
      <w:r w:rsidRPr="008B1A8D">
        <w:rPr>
          <w:rFonts w:eastAsia="Times New Roman"/>
          <w:color w:val="auto"/>
          <w:u w:val="none"/>
          <w:lang w:eastAsia="ru-RU"/>
        </w:rPr>
        <w:t>Драйверы стоимости компаний различных отраслей в условиях современных вызовов.</w:t>
      </w:r>
    </w:p>
    <w:p w14:paraId="23DC78A0" w14:textId="77777777" w:rsidR="008B1A8D" w:rsidRPr="008B1A8D" w:rsidRDefault="008B1A8D" w:rsidP="008B1A8D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362" w:lineRule="auto"/>
        <w:ind w:left="0" w:right="25" w:firstLine="709"/>
        <w:jc w:val="both"/>
        <w:rPr>
          <w:rFonts w:eastAsia="Times New Roman"/>
          <w:color w:val="auto"/>
          <w:u w:val="none"/>
          <w:lang w:eastAsia="ru-RU"/>
        </w:rPr>
      </w:pPr>
      <w:r w:rsidRPr="008B1A8D">
        <w:rPr>
          <w:rFonts w:eastAsia="Times New Roman"/>
          <w:color w:val="auto"/>
          <w:u w:val="none"/>
          <w:lang w:eastAsia="ru-RU"/>
        </w:rPr>
        <w:t>Факторы роста стоимости компании: анализ и моделирование.</w:t>
      </w:r>
    </w:p>
    <w:p w14:paraId="5C0C50C3" w14:textId="77777777" w:rsidR="008B1A8D" w:rsidRPr="008B1A8D" w:rsidRDefault="008B1A8D" w:rsidP="008B1A8D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362" w:lineRule="auto"/>
        <w:ind w:left="0" w:right="25" w:firstLine="709"/>
        <w:jc w:val="both"/>
        <w:rPr>
          <w:rFonts w:eastAsia="Times New Roman"/>
          <w:color w:val="auto"/>
          <w:u w:val="none"/>
          <w:lang w:eastAsia="ru-RU"/>
        </w:rPr>
      </w:pPr>
      <w:r w:rsidRPr="008B1A8D">
        <w:rPr>
          <w:rFonts w:eastAsia="Times New Roman"/>
          <w:color w:val="auto"/>
          <w:u w:val="none"/>
          <w:lang w:eastAsia="ru-RU"/>
        </w:rPr>
        <w:t>Применение стоимостного анализа для обеспечения роста эффективности сделок слияния и поглощения.</w:t>
      </w:r>
    </w:p>
    <w:p w14:paraId="5F834359" w14:textId="77777777" w:rsidR="008B1A8D" w:rsidRPr="008B1A8D" w:rsidRDefault="008B1A8D" w:rsidP="008B1A8D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362" w:lineRule="auto"/>
        <w:ind w:left="0" w:right="25" w:firstLine="709"/>
        <w:jc w:val="both"/>
        <w:rPr>
          <w:rFonts w:eastAsia="Times New Roman"/>
          <w:color w:val="auto"/>
          <w:u w:val="none"/>
          <w:lang w:eastAsia="ru-RU"/>
        </w:rPr>
      </w:pPr>
      <w:r w:rsidRPr="008B1A8D">
        <w:rPr>
          <w:rFonts w:eastAsia="Times New Roman"/>
          <w:color w:val="auto"/>
          <w:u w:val="none"/>
          <w:lang w:eastAsia="ru-RU"/>
        </w:rPr>
        <w:t>Управление корпоративным ростом компаний (на примере компаний отдельной отрасли).</w:t>
      </w:r>
    </w:p>
    <w:p w14:paraId="49BB867F" w14:textId="77777777" w:rsidR="008B1A8D" w:rsidRPr="008B1A8D" w:rsidRDefault="008B1A8D" w:rsidP="008B1A8D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362" w:lineRule="auto"/>
        <w:ind w:left="0" w:right="25" w:firstLine="709"/>
        <w:jc w:val="both"/>
        <w:rPr>
          <w:rFonts w:eastAsia="Times New Roman"/>
          <w:color w:val="auto"/>
          <w:u w:val="none"/>
          <w:lang w:eastAsia="ru-RU"/>
        </w:rPr>
      </w:pPr>
      <w:r w:rsidRPr="008B1A8D">
        <w:rPr>
          <w:rFonts w:eastAsia="Times New Roman"/>
          <w:color w:val="auto"/>
          <w:u w:val="none"/>
          <w:lang w:eastAsia="ru-RU"/>
        </w:rPr>
        <w:t>Управление капиталом в системе финансового менеджмента организации.</w:t>
      </w:r>
    </w:p>
    <w:p w14:paraId="3A2395D2" w14:textId="77777777" w:rsidR="008B1A8D" w:rsidRPr="008B1A8D" w:rsidRDefault="008B1A8D" w:rsidP="008B1A8D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362" w:lineRule="auto"/>
        <w:ind w:left="0" w:right="25" w:firstLine="709"/>
        <w:jc w:val="both"/>
        <w:rPr>
          <w:rFonts w:eastAsia="Times New Roman"/>
          <w:color w:val="auto"/>
          <w:u w:val="none"/>
          <w:lang w:eastAsia="ru-RU"/>
        </w:rPr>
      </w:pPr>
      <w:r w:rsidRPr="008B1A8D">
        <w:rPr>
          <w:rFonts w:eastAsia="Times New Roman"/>
          <w:color w:val="auto"/>
          <w:u w:val="none"/>
          <w:lang w:eastAsia="ru-RU"/>
        </w:rPr>
        <w:t>Стратегии оптимизации структуры капитала компаний (на примере компаний отдельной отрасли).</w:t>
      </w:r>
    </w:p>
    <w:p w14:paraId="02377169" w14:textId="77777777" w:rsidR="008B1A8D" w:rsidRPr="008B1A8D" w:rsidRDefault="008B1A8D" w:rsidP="008B1A8D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362" w:lineRule="auto"/>
        <w:ind w:left="0" w:right="25" w:firstLine="709"/>
        <w:jc w:val="both"/>
        <w:rPr>
          <w:rFonts w:eastAsia="Times New Roman"/>
          <w:color w:val="auto"/>
          <w:u w:val="none"/>
          <w:lang w:eastAsia="ru-RU"/>
        </w:rPr>
      </w:pPr>
      <w:r w:rsidRPr="008B1A8D">
        <w:rPr>
          <w:rFonts w:eastAsia="Times New Roman"/>
          <w:color w:val="auto"/>
          <w:u w:val="none"/>
          <w:lang w:eastAsia="ru-RU"/>
        </w:rPr>
        <w:t>Управление активами компаний (на примере компаний отдельной отрасли).</w:t>
      </w:r>
    </w:p>
    <w:p w14:paraId="24066DA3" w14:textId="77777777" w:rsidR="008B1A8D" w:rsidRPr="008B1A8D" w:rsidRDefault="008B1A8D" w:rsidP="008B1A8D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362" w:lineRule="auto"/>
        <w:ind w:left="0" w:right="25" w:firstLine="709"/>
        <w:jc w:val="both"/>
        <w:rPr>
          <w:rFonts w:eastAsia="Times New Roman"/>
          <w:color w:val="auto"/>
          <w:u w:val="none"/>
          <w:lang w:eastAsia="ru-RU"/>
        </w:rPr>
      </w:pPr>
      <w:r w:rsidRPr="008B1A8D">
        <w:rPr>
          <w:rFonts w:eastAsia="Times New Roman"/>
          <w:color w:val="auto"/>
          <w:u w:val="none"/>
          <w:lang w:eastAsia="ru-RU"/>
        </w:rPr>
        <w:t>Управление доходами компаний (на примере компаний отдельной отрасли).</w:t>
      </w:r>
    </w:p>
    <w:p w14:paraId="25A8CB4E" w14:textId="77777777" w:rsidR="008B1A8D" w:rsidRPr="008B1A8D" w:rsidRDefault="008B1A8D" w:rsidP="008B1A8D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362" w:lineRule="auto"/>
        <w:ind w:left="0" w:right="25" w:firstLine="709"/>
        <w:jc w:val="both"/>
        <w:rPr>
          <w:rFonts w:eastAsia="Times New Roman"/>
          <w:color w:val="auto"/>
          <w:u w:val="none"/>
          <w:lang w:eastAsia="ru-RU"/>
        </w:rPr>
      </w:pPr>
      <w:r w:rsidRPr="008B1A8D">
        <w:rPr>
          <w:rFonts w:eastAsia="Times New Roman"/>
          <w:color w:val="auto"/>
          <w:u w:val="none"/>
          <w:lang w:eastAsia="ru-RU"/>
        </w:rPr>
        <w:t>Финансовое состояние компании: проблемы измерения и управления.</w:t>
      </w:r>
    </w:p>
    <w:p w14:paraId="578C2595" w14:textId="77777777" w:rsidR="008B1A8D" w:rsidRPr="008B1A8D" w:rsidRDefault="008B1A8D" w:rsidP="008B1A8D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362" w:lineRule="auto"/>
        <w:ind w:left="0" w:right="25" w:firstLine="709"/>
        <w:jc w:val="both"/>
        <w:rPr>
          <w:rFonts w:eastAsia="Times New Roman"/>
          <w:color w:val="auto"/>
          <w:u w:val="none"/>
          <w:lang w:eastAsia="ru-RU"/>
        </w:rPr>
      </w:pPr>
      <w:r w:rsidRPr="008B1A8D">
        <w:rPr>
          <w:rFonts w:eastAsia="Times New Roman"/>
          <w:color w:val="auto"/>
          <w:u w:val="none"/>
          <w:lang w:eastAsia="ru-RU"/>
        </w:rPr>
        <w:t xml:space="preserve">Оценка и моделирование финансовой устойчивости компании. </w:t>
      </w:r>
    </w:p>
    <w:p w14:paraId="368AB273" w14:textId="77777777" w:rsidR="008B1A8D" w:rsidRPr="008B1A8D" w:rsidRDefault="008B1A8D" w:rsidP="008B1A8D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362" w:lineRule="auto"/>
        <w:ind w:left="0" w:right="25" w:firstLine="709"/>
        <w:jc w:val="both"/>
        <w:rPr>
          <w:rFonts w:eastAsia="Times New Roman"/>
          <w:color w:val="auto"/>
          <w:u w:val="none"/>
          <w:lang w:eastAsia="ru-RU"/>
        </w:rPr>
      </w:pPr>
      <w:r w:rsidRPr="008B1A8D">
        <w:rPr>
          <w:rFonts w:eastAsia="Times New Roman"/>
          <w:color w:val="auto"/>
          <w:u w:val="none"/>
          <w:lang w:eastAsia="ru-RU"/>
        </w:rPr>
        <w:t>Деловая активность компании: проблемы оценки и управленческий инструментарий.</w:t>
      </w:r>
    </w:p>
    <w:p w14:paraId="01ECC025" w14:textId="77777777" w:rsidR="008B1A8D" w:rsidRPr="008B1A8D" w:rsidRDefault="008B1A8D" w:rsidP="008B1A8D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362" w:lineRule="auto"/>
        <w:ind w:left="0" w:right="25" w:firstLine="709"/>
        <w:jc w:val="both"/>
        <w:rPr>
          <w:rFonts w:eastAsia="Times New Roman"/>
          <w:color w:val="auto"/>
          <w:u w:val="none"/>
          <w:lang w:eastAsia="ru-RU"/>
        </w:rPr>
      </w:pPr>
      <w:r w:rsidRPr="008B1A8D">
        <w:rPr>
          <w:rFonts w:eastAsia="Times New Roman"/>
          <w:color w:val="auto"/>
          <w:u w:val="none"/>
          <w:lang w:eastAsia="ru-RU"/>
        </w:rPr>
        <w:t>Оценка и моделирование системы финансовых показателей эффективности компании в контексте ее устойчивого развития.</w:t>
      </w:r>
    </w:p>
    <w:p w14:paraId="7294012A" w14:textId="77777777" w:rsidR="008B1A8D" w:rsidRPr="008B1A8D" w:rsidRDefault="008B1A8D" w:rsidP="008B1A8D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362" w:lineRule="auto"/>
        <w:ind w:left="0" w:right="25" w:firstLine="709"/>
        <w:jc w:val="both"/>
        <w:rPr>
          <w:rFonts w:eastAsia="Times New Roman"/>
          <w:color w:val="auto"/>
          <w:u w:val="none"/>
          <w:lang w:eastAsia="ru-RU"/>
        </w:rPr>
      </w:pPr>
      <w:r w:rsidRPr="008B1A8D">
        <w:rPr>
          <w:rFonts w:eastAsia="Times New Roman"/>
          <w:color w:val="auto"/>
          <w:u w:val="none"/>
          <w:lang w:eastAsia="ru-RU"/>
        </w:rPr>
        <w:t>Финансовые риски в компаниях реального сектора экономики: особенности оценки и управления</w:t>
      </w:r>
    </w:p>
    <w:p w14:paraId="32FD8B2B" w14:textId="77777777" w:rsidR="008B1A8D" w:rsidRPr="008B1A8D" w:rsidRDefault="008B1A8D" w:rsidP="008B1A8D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362" w:lineRule="auto"/>
        <w:ind w:left="0" w:right="25" w:firstLine="709"/>
        <w:jc w:val="both"/>
        <w:rPr>
          <w:rFonts w:eastAsia="Times New Roman"/>
          <w:color w:val="auto"/>
          <w:u w:val="none"/>
          <w:lang w:eastAsia="ru-RU"/>
        </w:rPr>
      </w:pPr>
      <w:r w:rsidRPr="008B1A8D">
        <w:rPr>
          <w:rFonts w:eastAsia="Times New Roman"/>
          <w:color w:val="auto"/>
          <w:u w:val="none"/>
          <w:lang w:eastAsia="ru-RU"/>
        </w:rPr>
        <w:t>Влияние финансовой политики на стоимость корпорации.</w:t>
      </w:r>
    </w:p>
    <w:p w14:paraId="43D0B22F" w14:textId="77777777" w:rsidR="008B1A8D" w:rsidRPr="008B1A8D" w:rsidRDefault="008B1A8D" w:rsidP="008B1A8D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360" w:lineRule="auto"/>
        <w:ind w:left="0" w:right="25" w:firstLine="709"/>
        <w:jc w:val="both"/>
        <w:rPr>
          <w:rFonts w:eastAsia="Times New Roman"/>
          <w:color w:val="auto"/>
          <w:u w:val="none"/>
          <w:lang w:eastAsia="ru-RU"/>
        </w:rPr>
      </w:pPr>
      <w:r w:rsidRPr="008B1A8D">
        <w:rPr>
          <w:rFonts w:eastAsia="Times New Roman"/>
          <w:color w:val="auto"/>
          <w:u w:val="none"/>
          <w:lang w:eastAsia="ru-RU"/>
        </w:rPr>
        <w:t>Финансовая стратегия развития бизнеса: направления разработки и пути совершенствования.</w:t>
      </w:r>
    </w:p>
    <w:p w14:paraId="38508C71" w14:textId="77777777" w:rsidR="008B1A8D" w:rsidRPr="008B1A8D" w:rsidRDefault="008B1A8D" w:rsidP="008B1A8D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 w:line="360" w:lineRule="auto"/>
        <w:ind w:left="0" w:firstLine="709"/>
        <w:jc w:val="both"/>
        <w:rPr>
          <w:rFonts w:eastAsia="Times New Roman"/>
          <w:color w:val="auto"/>
          <w:u w:val="none"/>
          <w:lang w:eastAsia="ru-RU"/>
        </w:rPr>
      </w:pPr>
      <w:r w:rsidRPr="008B1A8D">
        <w:rPr>
          <w:rFonts w:eastAsia="Times New Roman"/>
          <w:color w:val="auto"/>
          <w:u w:val="none"/>
          <w:lang w:eastAsia="ru-RU"/>
        </w:rPr>
        <w:t>Анализ и оценка инвестиционной привлекательности компании</w:t>
      </w:r>
      <w:r w:rsidRPr="008B1A8D">
        <w:rPr>
          <w:rFonts w:eastAsia="Times New Roman"/>
          <w:color w:val="auto"/>
          <w:sz w:val="22"/>
          <w:szCs w:val="22"/>
          <w:u w:val="none"/>
        </w:rPr>
        <w:t xml:space="preserve"> </w:t>
      </w:r>
      <w:r w:rsidRPr="008B1A8D">
        <w:rPr>
          <w:rFonts w:eastAsia="Times New Roman"/>
          <w:color w:val="auto"/>
          <w:u w:val="none"/>
          <w:lang w:eastAsia="ru-RU"/>
        </w:rPr>
        <w:t xml:space="preserve">в </w:t>
      </w:r>
      <w:r w:rsidRPr="008B1A8D">
        <w:rPr>
          <w:rFonts w:eastAsia="Times New Roman"/>
          <w:color w:val="auto"/>
          <w:u w:val="none"/>
          <w:lang w:eastAsia="ru-RU"/>
        </w:rPr>
        <w:lastRenderedPageBreak/>
        <w:t>условиях современных вызовов.</w:t>
      </w:r>
    </w:p>
    <w:p w14:paraId="05289CF4" w14:textId="77777777" w:rsidR="008B1A8D" w:rsidRPr="008B1A8D" w:rsidRDefault="008B1A8D" w:rsidP="008B1A8D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360" w:lineRule="auto"/>
        <w:ind w:left="0" w:right="25" w:firstLine="709"/>
        <w:jc w:val="both"/>
        <w:rPr>
          <w:rFonts w:eastAsia="Times New Roman"/>
          <w:color w:val="auto"/>
          <w:u w:val="none"/>
          <w:lang w:eastAsia="ru-RU"/>
        </w:rPr>
      </w:pPr>
      <w:r w:rsidRPr="008B1A8D">
        <w:rPr>
          <w:rFonts w:eastAsia="Times New Roman"/>
          <w:color w:val="auto"/>
          <w:u w:val="none"/>
          <w:lang w:eastAsia="ru-RU"/>
        </w:rPr>
        <w:t>Современные тренды развития денежно-кредитной политики Банка России.</w:t>
      </w:r>
    </w:p>
    <w:p w14:paraId="0219DE36" w14:textId="77777777" w:rsidR="008B1A8D" w:rsidRPr="008B1A8D" w:rsidRDefault="008B1A8D" w:rsidP="008B1A8D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362" w:lineRule="auto"/>
        <w:ind w:left="0" w:right="25" w:firstLine="709"/>
        <w:jc w:val="both"/>
        <w:rPr>
          <w:rFonts w:eastAsia="Times New Roman"/>
          <w:color w:val="auto"/>
          <w:u w:val="none"/>
          <w:lang w:eastAsia="ru-RU"/>
        </w:rPr>
      </w:pPr>
      <w:r w:rsidRPr="008B1A8D">
        <w:rPr>
          <w:rFonts w:eastAsia="Times New Roman"/>
          <w:color w:val="auto"/>
          <w:u w:val="none"/>
          <w:lang w:eastAsia="ru-RU"/>
        </w:rPr>
        <w:t>Современные тенденции развития финансовых экосистем.</w:t>
      </w:r>
    </w:p>
    <w:p w14:paraId="356E7F7B" w14:textId="77777777" w:rsidR="008B1A8D" w:rsidRPr="008B1A8D" w:rsidRDefault="008B1A8D" w:rsidP="008B1A8D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362" w:lineRule="auto"/>
        <w:ind w:left="0" w:right="25" w:firstLine="709"/>
        <w:jc w:val="both"/>
        <w:rPr>
          <w:rFonts w:eastAsia="Times New Roman"/>
          <w:color w:val="auto"/>
          <w:u w:val="none"/>
          <w:lang w:eastAsia="ru-RU"/>
        </w:rPr>
      </w:pPr>
      <w:r w:rsidRPr="008B1A8D">
        <w:rPr>
          <w:rFonts w:eastAsia="Times New Roman"/>
          <w:color w:val="auto"/>
          <w:u w:val="none"/>
          <w:lang w:eastAsia="ru-RU"/>
        </w:rPr>
        <w:t>Доверие к институтам финансового рынка, критерии и способы его количественной оценки в условиях цифровизации (на примере института финансового рынка по выбору).</w:t>
      </w:r>
    </w:p>
    <w:p w14:paraId="6B1D5E8F" w14:textId="77777777" w:rsidR="008B1A8D" w:rsidRPr="008B1A8D" w:rsidRDefault="008B1A8D" w:rsidP="008B1A8D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362" w:lineRule="auto"/>
        <w:ind w:left="0" w:right="25" w:firstLine="709"/>
        <w:jc w:val="both"/>
        <w:rPr>
          <w:rFonts w:eastAsia="Times New Roman"/>
          <w:color w:val="auto"/>
          <w:u w:val="none"/>
          <w:lang w:eastAsia="ru-RU"/>
        </w:rPr>
      </w:pPr>
      <w:r w:rsidRPr="008B1A8D">
        <w:rPr>
          <w:rFonts w:eastAsia="Times New Roman"/>
          <w:color w:val="auto"/>
          <w:u w:val="none"/>
          <w:lang w:eastAsia="ru-RU"/>
        </w:rPr>
        <w:t>Проблемы и перспективы внедрения инновационных банковских услуг в банковском секторе России (на материалах финансового регулятора и коммерческих банков).</w:t>
      </w:r>
    </w:p>
    <w:p w14:paraId="60C192BA" w14:textId="77777777" w:rsidR="008B1A8D" w:rsidRPr="008B1A8D" w:rsidRDefault="008B1A8D" w:rsidP="008B1A8D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362" w:lineRule="auto"/>
        <w:ind w:left="0" w:right="25" w:firstLine="709"/>
        <w:jc w:val="both"/>
        <w:rPr>
          <w:rFonts w:eastAsia="Times New Roman"/>
          <w:color w:val="auto"/>
          <w:u w:val="none"/>
          <w:lang w:eastAsia="ru-RU"/>
        </w:rPr>
      </w:pPr>
      <w:r w:rsidRPr="008B1A8D">
        <w:rPr>
          <w:rFonts w:eastAsia="Times New Roman"/>
          <w:color w:val="auto"/>
          <w:u w:val="none"/>
          <w:lang w:eastAsia="ru-RU"/>
        </w:rPr>
        <w:t>Портфельный подход к управлению активами и пассивами коммерческого банка.</w:t>
      </w:r>
    </w:p>
    <w:p w14:paraId="6F92BC2C" w14:textId="77777777" w:rsidR="003B2E43" w:rsidRPr="003B2E43" w:rsidRDefault="003B2E43" w:rsidP="003B2E43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362" w:lineRule="auto"/>
        <w:ind w:left="0" w:right="25" w:firstLine="709"/>
        <w:jc w:val="both"/>
        <w:rPr>
          <w:rFonts w:eastAsia="Times New Roman"/>
          <w:color w:val="auto"/>
          <w:u w:val="none"/>
          <w:lang w:eastAsia="ru-RU"/>
        </w:rPr>
      </w:pPr>
      <w:r w:rsidRPr="003B2E43">
        <w:rPr>
          <w:rFonts w:eastAsia="Times New Roman"/>
          <w:color w:val="auto"/>
          <w:u w:val="none"/>
          <w:lang w:eastAsia="ru-RU"/>
        </w:rPr>
        <w:t>Актуальные методы анализа и обеспечения экономической стабильности коммерческих банков</w:t>
      </w:r>
    </w:p>
    <w:p w14:paraId="0B3FC892" w14:textId="77777777" w:rsidR="003B2E43" w:rsidRPr="003B2E43" w:rsidRDefault="003B2E43" w:rsidP="003B2E43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362" w:lineRule="auto"/>
        <w:ind w:left="0" w:right="25" w:firstLine="709"/>
        <w:jc w:val="both"/>
        <w:rPr>
          <w:rFonts w:eastAsia="Times New Roman"/>
          <w:color w:val="auto"/>
          <w:u w:val="none"/>
          <w:lang w:eastAsia="ru-RU"/>
        </w:rPr>
      </w:pPr>
      <w:r w:rsidRPr="003B2E43">
        <w:rPr>
          <w:rFonts w:eastAsia="Times New Roman"/>
          <w:color w:val="auto"/>
          <w:u w:val="none"/>
          <w:lang w:eastAsia="ru-RU"/>
        </w:rPr>
        <w:t>Методы минимизации рисков при кредитовании субъектов малого предпринимательства</w:t>
      </w:r>
    </w:p>
    <w:p w14:paraId="3F38C509" w14:textId="77777777" w:rsidR="003B2E43" w:rsidRPr="003B2E43" w:rsidRDefault="003B2E43" w:rsidP="003B2E43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362" w:lineRule="auto"/>
        <w:ind w:left="0" w:right="25" w:firstLine="709"/>
        <w:jc w:val="both"/>
        <w:rPr>
          <w:rFonts w:eastAsia="Times New Roman"/>
          <w:color w:val="auto"/>
          <w:u w:val="none"/>
          <w:lang w:eastAsia="ru-RU"/>
        </w:rPr>
      </w:pPr>
      <w:r w:rsidRPr="003B2E43">
        <w:rPr>
          <w:rFonts w:eastAsia="Times New Roman"/>
          <w:color w:val="auto"/>
          <w:u w:val="none"/>
          <w:lang w:eastAsia="ru-RU"/>
        </w:rPr>
        <w:t>Стратегии повышения прибыльности банковских операций в эпоху цифровизации экономики</w:t>
      </w:r>
    </w:p>
    <w:p w14:paraId="12567D47" w14:textId="77777777" w:rsidR="003B2E43" w:rsidRPr="003B2E43" w:rsidRDefault="003B2E43" w:rsidP="003B2E43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362" w:lineRule="auto"/>
        <w:ind w:left="0" w:right="25" w:firstLine="709"/>
        <w:jc w:val="both"/>
        <w:rPr>
          <w:rFonts w:eastAsia="Times New Roman"/>
          <w:color w:val="auto"/>
          <w:u w:val="none"/>
          <w:lang w:eastAsia="ru-RU"/>
        </w:rPr>
      </w:pPr>
      <w:r w:rsidRPr="003B2E43">
        <w:rPr>
          <w:rFonts w:eastAsia="Times New Roman"/>
          <w:color w:val="auto"/>
          <w:u w:val="none"/>
          <w:lang w:eastAsia="ru-RU"/>
        </w:rPr>
        <w:t>Механизмы контроля банковских рисков и их значение в предупреждении кризисных ситуаций</w:t>
      </w:r>
    </w:p>
    <w:p w14:paraId="6F8CC7A1" w14:textId="77777777" w:rsidR="003B2E43" w:rsidRPr="003B2E43" w:rsidRDefault="003B2E43" w:rsidP="003B2E43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362" w:lineRule="auto"/>
        <w:ind w:left="0" w:right="25" w:firstLine="709"/>
        <w:jc w:val="both"/>
        <w:rPr>
          <w:rFonts w:eastAsia="Times New Roman"/>
          <w:color w:val="auto"/>
          <w:u w:val="none"/>
          <w:lang w:eastAsia="ru-RU"/>
        </w:rPr>
      </w:pPr>
      <w:r w:rsidRPr="003B2E43">
        <w:rPr>
          <w:rFonts w:eastAsia="Times New Roman"/>
          <w:color w:val="auto"/>
          <w:u w:val="none"/>
          <w:lang w:eastAsia="ru-RU"/>
        </w:rPr>
        <w:t>Инновационные подходы к кризисному менеджменту в коммерческих банках</w:t>
      </w:r>
    </w:p>
    <w:p w14:paraId="74E618EE" w14:textId="77777777" w:rsidR="003B2E43" w:rsidRPr="003B2E43" w:rsidRDefault="003B2E43" w:rsidP="003B2E43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362" w:lineRule="auto"/>
        <w:ind w:left="0" w:right="25" w:firstLine="709"/>
        <w:jc w:val="both"/>
        <w:rPr>
          <w:rFonts w:eastAsia="Times New Roman"/>
          <w:color w:val="auto"/>
          <w:u w:val="none"/>
          <w:lang w:eastAsia="ru-RU"/>
        </w:rPr>
      </w:pPr>
      <w:r w:rsidRPr="003B2E43">
        <w:rPr>
          <w:rFonts w:eastAsia="Times New Roman"/>
          <w:color w:val="auto"/>
          <w:u w:val="none"/>
          <w:lang w:eastAsia="ru-RU"/>
        </w:rPr>
        <w:t>Актуальные направления и сложности в развитии инвестиционного кредитования предприятий реального сектора</w:t>
      </w:r>
    </w:p>
    <w:p w14:paraId="649356BA" w14:textId="77777777" w:rsidR="003B2E43" w:rsidRPr="003B2E43" w:rsidRDefault="003B2E43" w:rsidP="003B2E43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362" w:lineRule="auto"/>
        <w:ind w:left="0" w:right="25" w:firstLine="709"/>
        <w:jc w:val="both"/>
        <w:rPr>
          <w:rFonts w:eastAsia="Times New Roman"/>
          <w:color w:val="auto"/>
          <w:u w:val="none"/>
          <w:lang w:eastAsia="ru-RU"/>
        </w:rPr>
      </w:pPr>
      <w:r w:rsidRPr="003B2E43">
        <w:rPr>
          <w:rFonts w:eastAsia="Times New Roman"/>
          <w:color w:val="auto"/>
          <w:u w:val="none"/>
          <w:lang w:eastAsia="ru-RU"/>
        </w:rPr>
        <w:t>Трансформация банкинга под воздействием финтеха: от цифровых платежей до блокчейн-решений.</w:t>
      </w:r>
    </w:p>
    <w:p w14:paraId="037301C1" w14:textId="77777777" w:rsidR="003B2E43" w:rsidRPr="003B2E43" w:rsidRDefault="003B2E43" w:rsidP="003B2E43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362" w:lineRule="auto"/>
        <w:ind w:left="0" w:right="25" w:firstLine="709"/>
        <w:jc w:val="both"/>
        <w:rPr>
          <w:rFonts w:eastAsia="Times New Roman"/>
          <w:color w:val="auto"/>
          <w:u w:val="none"/>
          <w:lang w:eastAsia="ru-RU"/>
        </w:rPr>
      </w:pPr>
      <w:r w:rsidRPr="003B2E43">
        <w:rPr>
          <w:rFonts w:eastAsia="Times New Roman"/>
          <w:color w:val="auto"/>
          <w:u w:val="none"/>
          <w:lang w:eastAsia="ru-RU"/>
        </w:rPr>
        <w:t>Совершенствование рейтинговых систем оценки кредитоспособности клиентов: вызовы и возможности (на примере конкретного банка)</w:t>
      </w:r>
    </w:p>
    <w:p w14:paraId="6E16F6F8" w14:textId="77777777" w:rsidR="003B2E43" w:rsidRPr="003B2E43" w:rsidRDefault="003B2E43" w:rsidP="003B2E43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362" w:lineRule="auto"/>
        <w:ind w:left="0" w:right="25" w:firstLine="709"/>
        <w:jc w:val="both"/>
        <w:rPr>
          <w:rFonts w:eastAsia="Times New Roman"/>
          <w:color w:val="auto"/>
          <w:u w:val="none"/>
          <w:lang w:eastAsia="ru-RU"/>
        </w:rPr>
      </w:pPr>
      <w:r w:rsidRPr="003B2E43">
        <w:rPr>
          <w:rFonts w:eastAsia="Times New Roman"/>
          <w:color w:val="auto"/>
          <w:u w:val="none"/>
          <w:lang w:eastAsia="ru-RU"/>
        </w:rPr>
        <w:t>Анализ проблем и перспектив разработки скоринговых моделей для оценки заёмщиков.</w:t>
      </w:r>
    </w:p>
    <w:p w14:paraId="020D683B" w14:textId="77777777" w:rsidR="003B2E43" w:rsidRPr="003B2E43" w:rsidRDefault="003B2E43" w:rsidP="003B2E43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362" w:lineRule="auto"/>
        <w:ind w:left="0" w:right="25" w:firstLine="709"/>
        <w:jc w:val="both"/>
        <w:rPr>
          <w:rFonts w:eastAsia="Times New Roman"/>
          <w:color w:val="auto"/>
          <w:u w:val="none"/>
          <w:lang w:eastAsia="ru-RU"/>
        </w:rPr>
      </w:pPr>
      <w:r w:rsidRPr="003B2E43">
        <w:rPr>
          <w:rFonts w:eastAsia="Times New Roman"/>
          <w:color w:val="auto"/>
          <w:u w:val="none"/>
          <w:lang w:eastAsia="ru-RU"/>
        </w:rPr>
        <w:t>Совершенствование методов финансового планирования и прогнозирования в государственном секторе</w:t>
      </w:r>
    </w:p>
    <w:p w14:paraId="576454B5" w14:textId="77777777" w:rsidR="003B2E43" w:rsidRPr="003B2E43" w:rsidRDefault="003B2E43" w:rsidP="003B2E43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362" w:lineRule="auto"/>
        <w:ind w:left="0" w:right="25" w:firstLine="709"/>
        <w:jc w:val="both"/>
        <w:rPr>
          <w:rFonts w:eastAsia="Times New Roman"/>
          <w:color w:val="auto"/>
          <w:u w:val="none"/>
          <w:lang w:eastAsia="ru-RU"/>
        </w:rPr>
      </w:pPr>
      <w:r w:rsidRPr="003B2E43">
        <w:rPr>
          <w:rFonts w:eastAsia="Times New Roman"/>
          <w:color w:val="auto"/>
          <w:u w:val="none"/>
          <w:lang w:eastAsia="ru-RU"/>
        </w:rPr>
        <w:t>Инструменты повышения эффективности бюджетного управления на уровне государственных и муниципальных структур.</w:t>
      </w:r>
    </w:p>
    <w:p w14:paraId="5121D290" w14:textId="77777777" w:rsidR="008B1A8D" w:rsidRPr="008B1A8D" w:rsidRDefault="008B1A8D" w:rsidP="008B1A8D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362" w:lineRule="auto"/>
        <w:ind w:left="0" w:right="25" w:firstLine="709"/>
        <w:jc w:val="both"/>
        <w:rPr>
          <w:rFonts w:eastAsia="Times New Roman"/>
          <w:color w:val="auto"/>
          <w:u w:val="none"/>
          <w:lang w:eastAsia="ru-RU"/>
        </w:rPr>
      </w:pPr>
      <w:r w:rsidRPr="008B1A8D">
        <w:rPr>
          <w:rFonts w:eastAsia="Times New Roman"/>
          <w:color w:val="auto"/>
          <w:u w:val="none"/>
          <w:lang w:eastAsia="ru-RU"/>
        </w:rPr>
        <w:t>Совершенствование планирования и прогнозирования доходов федерального (регионального, местного) бюджета.</w:t>
      </w:r>
    </w:p>
    <w:p w14:paraId="1997B48F" w14:textId="77777777" w:rsidR="008B1A8D" w:rsidRPr="008B1A8D" w:rsidRDefault="008B1A8D" w:rsidP="008B1A8D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362" w:lineRule="auto"/>
        <w:ind w:left="0" w:right="25" w:firstLine="709"/>
        <w:jc w:val="both"/>
        <w:rPr>
          <w:rFonts w:eastAsia="Times New Roman"/>
          <w:color w:val="auto"/>
          <w:u w:val="none"/>
          <w:lang w:eastAsia="ru-RU"/>
        </w:rPr>
      </w:pPr>
      <w:r w:rsidRPr="008B1A8D">
        <w:rPr>
          <w:rFonts w:eastAsia="Times New Roman"/>
          <w:color w:val="auto"/>
          <w:u w:val="none"/>
          <w:lang w:eastAsia="ru-RU"/>
        </w:rPr>
        <w:t>Совершенствование планирования и прогнозирования расходов федерального (регионального, местного) бюджета.</w:t>
      </w:r>
    </w:p>
    <w:p w14:paraId="6BF6880C" w14:textId="77777777" w:rsidR="008B1A8D" w:rsidRPr="008B1A8D" w:rsidRDefault="008B1A8D" w:rsidP="008B1A8D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362" w:lineRule="auto"/>
        <w:ind w:left="0" w:right="25" w:firstLine="709"/>
        <w:jc w:val="both"/>
        <w:rPr>
          <w:rFonts w:eastAsia="Times New Roman"/>
          <w:color w:val="auto"/>
          <w:u w:val="none"/>
          <w:lang w:eastAsia="ru-RU"/>
        </w:rPr>
      </w:pPr>
      <w:r w:rsidRPr="008B1A8D">
        <w:rPr>
          <w:rFonts w:eastAsia="Times New Roman"/>
          <w:color w:val="auto"/>
          <w:u w:val="none"/>
          <w:lang w:eastAsia="ru-RU"/>
        </w:rPr>
        <w:t>Резервы роста доходов федерального бюджета (регионального, местного) бюджета.</w:t>
      </w:r>
    </w:p>
    <w:p w14:paraId="6BCE13BE" w14:textId="77777777" w:rsidR="008B1A8D" w:rsidRPr="008B1A8D" w:rsidRDefault="008B1A8D" w:rsidP="008B1A8D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362" w:lineRule="auto"/>
        <w:ind w:left="0" w:right="25" w:firstLine="709"/>
        <w:jc w:val="both"/>
        <w:rPr>
          <w:rFonts w:eastAsia="Times New Roman"/>
          <w:color w:val="auto"/>
          <w:u w:val="none"/>
          <w:lang w:eastAsia="ru-RU"/>
        </w:rPr>
      </w:pPr>
      <w:r w:rsidRPr="008B1A8D">
        <w:rPr>
          <w:rFonts w:eastAsia="Times New Roman"/>
          <w:color w:val="auto"/>
          <w:u w:val="none"/>
          <w:lang w:eastAsia="ru-RU"/>
        </w:rPr>
        <w:t>Обзоры расходов бюджета как инструмент повышения их эффективности.</w:t>
      </w:r>
    </w:p>
    <w:p w14:paraId="5BD842B4" w14:textId="77777777" w:rsidR="008B1A8D" w:rsidRPr="008B1A8D" w:rsidRDefault="008B1A8D" w:rsidP="008B1A8D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362" w:lineRule="auto"/>
        <w:ind w:left="0" w:right="25" w:firstLine="709"/>
        <w:jc w:val="both"/>
        <w:rPr>
          <w:rFonts w:eastAsia="Times New Roman"/>
          <w:color w:val="auto"/>
          <w:u w:val="none"/>
          <w:lang w:eastAsia="ru-RU"/>
        </w:rPr>
      </w:pPr>
      <w:r w:rsidRPr="008B1A8D">
        <w:rPr>
          <w:rFonts w:eastAsia="Times New Roman"/>
          <w:color w:val="auto"/>
          <w:u w:val="none"/>
          <w:lang w:eastAsia="ru-RU"/>
        </w:rPr>
        <w:t>Развитие инструментов государственного финансового контроля за расходами на реализацию государственных (муниципальных) программ.</w:t>
      </w:r>
    </w:p>
    <w:p w14:paraId="1283D5C6" w14:textId="77777777" w:rsidR="008B1A8D" w:rsidRPr="008B1A8D" w:rsidRDefault="008B1A8D" w:rsidP="008B1A8D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362" w:lineRule="auto"/>
        <w:ind w:left="0" w:right="25" w:firstLine="709"/>
        <w:jc w:val="both"/>
        <w:rPr>
          <w:rFonts w:eastAsia="Times New Roman"/>
          <w:color w:val="auto"/>
          <w:u w:val="none"/>
          <w:lang w:eastAsia="ru-RU"/>
        </w:rPr>
      </w:pPr>
      <w:r w:rsidRPr="008B1A8D">
        <w:rPr>
          <w:rFonts w:eastAsia="Times New Roman"/>
          <w:color w:val="auto"/>
          <w:u w:val="none"/>
          <w:lang w:eastAsia="ru-RU"/>
        </w:rPr>
        <w:t>Развитие технологий и инструментов межбюджетных отношений в Российской Федерации.</w:t>
      </w:r>
    </w:p>
    <w:p w14:paraId="66ACD35C" w14:textId="77777777" w:rsidR="008B1A8D" w:rsidRPr="008B1A8D" w:rsidRDefault="008B1A8D" w:rsidP="008B1A8D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362" w:lineRule="auto"/>
        <w:ind w:left="0" w:right="25" w:firstLine="709"/>
        <w:jc w:val="both"/>
        <w:rPr>
          <w:rFonts w:eastAsia="Times New Roman"/>
          <w:color w:val="auto"/>
          <w:u w:val="none"/>
          <w:lang w:eastAsia="ru-RU"/>
        </w:rPr>
      </w:pPr>
      <w:r w:rsidRPr="008B1A8D">
        <w:rPr>
          <w:rFonts w:eastAsia="Times New Roman"/>
          <w:color w:val="auto"/>
          <w:u w:val="none"/>
          <w:lang w:eastAsia="ru-RU"/>
        </w:rPr>
        <w:t>Влияние разграничения и распределения доходов между бюджетами на бюджетную устойчивость региона (на примере субъекта Российской Федерации).</w:t>
      </w:r>
    </w:p>
    <w:p w14:paraId="0F3566BD" w14:textId="77777777" w:rsidR="008B1A8D" w:rsidRPr="008B1A8D" w:rsidRDefault="008B1A8D" w:rsidP="008B1A8D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362" w:lineRule="auto"/>
        <w:ind w:left="0" w:right="25" w:firstLine="709"/>
        <w:jc w:val="both"/>
        <w:rPr>
          <w:rFonts w:eastAsia="Times New Roman"/>
          <w:color w:val="auto"/>
          <w:u w:val="none"/>
          <w:lang w:eastAsia="ru-RU"/>
        </w:rPr>
      </w:pPr>
      <w:r w:rsidRPr="008B1A8D">
        <w:rPr>
          <w:rFonts w:eastAsia="Times New Roman"/>
          <w:color w:val="auto"/>
          <w:u w:val="none"/>
          <w:lang w:eastAsia="ru-RU"/>
        </w:rPr>
        <w:t>Инструменты выравнивания бюджетной обеспеченности муниципальных образований в регионе (на примере субъекта Российской Федерации).</w:t>
      </w:r>
    </w:p>
    <w:p w14:paraId="0EB30CDF" w14:textId="77777777" w:rsidR="008B1A8D" w:rsidRPr="008B1A8D" w:rsidRDefault="008B1A8D" w:rsidP="008B1A8D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362" w:lineRule="auto"/>
        <w:ind w:left="0" w:right="25" w:firstLine="709"/>
        <w:jc w:val="both"/>
        <w:rPr>
          <w:rFonts w:eastAsia="Times New Roman"/>
          <w:color w:val="auto"/>
          <w:u w:val="none"/>
          <w:lang w:eastAsia="ru-RU"/>
        </w:rPr>
      </w:pPr>
      <w:r w:rsidRPr="008B1A8D">
        <w:rPr>
          <w:rFonts w:eastAsia="Times New Roman"/>
          <w:color w:val="auto"/>
          <w:u w:val="none"/>
          <w:lang w:eastAsia="ru-RU"/>
        </w:rPr>
        <w:t>Совершенствование инструментов программно-целевого управления общественными финансами в условиях цифровой экономики.</w:t>
      </w:r>
    </w:p>
    <w:p w14:paraId="060180EF" w14:textId="77777777" w:rsidR="008B1A8D" w:rsidRPr="008B1A8D" w:rsidRDefault="008B1A8D" w:rsidP="008B1A8D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362" w:lineRule="auto"/>
        <w:ind w:left="0" w:right="25" w:firstLine="709"/>
        <w:jc w:val="both"/>
        <w:rPr>
          <w:rFonts w:eastAsia="Times New Roman"/>
          <w:color w:val="auto"/>
          <w:u w:val="none"/>
          <w:lang w:eastAsia="ru-RU"/>
        </w:rPr>
      </w:pPr>
      <w:r w:rsidRPr="008B1A8D">
        <w:rPr>
          <w:rFonts w:eastAsia="Times New Roman"/>
          <w:color w:val="auto"/>
          <w:u w:val="none"/>
          <w:lang w:eastAsia="ru-RU"/>
        </w:rPr>
        <w:t>Оценка результативности бюджетной политики Российской Федерации (региона, муниципального образования).</w:t>
      </w:r>
    </w:p>
    <w:p w14:paraId="02BC13F7" w14:textId="77777777" w:rsidR="008B1A8D" w:rsidRPr="008B1A8D" w:rsidRDefault="008B1A8D" w:rsidP="008B1A8D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362" w:lineRule="auto"/>
        <w:ind w:left="0" w:right="25" w:firstLine="709"/>
        <w:jc w:val="both"/>
        <w:rPr>
          <w:rFonts w:eastAsia="Times New Roman"/>
          <w:color w:val="auto"/>
          <w:u w:val="none"/>
          <w:lang w:eastAsia="ru-RU"/>
        </w:rPr>
      </w:pPr>
      <w:r w:rsidRPr="008B1A8D">
        <w:rPr>
          <w:rFonts w:eastAsia="Times New Roman"/>
          <w:color w:val="auto"/>
          <w:u w:val="none"/>
          <w:lang w:eastAsia="ru-RU"/>
        </w:rPr>
        <w:t>Государственный долг Российской Федерации (субъекта Российской Федерации) и его влияние на национальную (региональную) экономику.</w:t>
      </w:r>
    </w:p>
    <w:p w14:paraId="0456949F" w14:textId="77777777" w:rsidR="008B1A8D" w:rsidRPr="008B1A8D" w:rsidRDefault="008B1A8D" w:rsidP="008B1A8D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362" w:lineRule="auto"/>
        <w:ind w:left="0" w:right="25" w:firstLine="709"/>
        <w:jc w:val="both"/>
        <w:rPr>
          <w:rFonts w:eastAsia="Times New Roman"/>
          <w:color w:val="auto"/>
          <w:u w:val="none"/>
          <w:lang w:eastAsia="ru-RU"/>
        </w:rPr>
      </w:pPr>
      <w:r w:rsidRPr="008B1A8D">
        <w:rPr>
          <w:rFonts w:eastAsia="Times New Roman"/>
          <w:color w:val="auto"/>
          <w:u w:val="none"/>
          <w:lang w:eastAsia="ru-RU"/>
        </w:rPr>
        <w:t>Долговая устойчивость публично-правового образования: оценка и проблемы укрепления.</w:t>
      </w:r>
    </w:p>
    <w:p w14:paraId="0890397C" w14:textId="77777777" w:rsidR="008B1A8D" w:rsidRPr="008B1A8D" w:rsidRDefault="008B1A8D" w:rsidP="008B1A8D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362" w:lineRule="auto"/>
        <w:ind w:left="0" w:right="25" w:firstLine="709"/>
        <w:jc w:val="both"/>
        <w:rPr>
          <w:rFonts w:eastAsia="Times New Roman"/>
          <w:color w:val="auto"/>
          <w:u w:val="none"/>
          <w:lang w:eastAsia="ru-RU"/>
        </w:rPr>
      </w:pPr>
      <w:r w:rsidRPr="008B1A8D">
        <w:rPr>
          <w:rFonts w:eastAsia="Times New Roman"/>
          <w:color w:val="auto"/>
          <w:u w:val="none"/>
          <w:lang w:eastAsia="ru-RU"/>
        </w:rPr>
        <w:t>Бюджетные инвестиции и стимулирование экономического роста.</w:t>
      </w:r>
    </w:p>
    <w:p w14:paraId="1FFA0A7A" w14:textId="77777777" w:rsidR="008B1A8D" w:rsidRPr="008B1A8D" w:rsidRDefault="008B1A8D" w:rsidP="008B1A8D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362" w:lineRule="auto"/>
        <w:ind w:left="0" w:right="25" w:firstLine="709"/>
        <w:jc w:val="both"/>
        <w:rPr>
          <w:rFonts w:eastAsia="Times New Roman"/>
          <w:color w:val="auto"/>
          <w:u w:val="none"/>
          <w:lang w:eastAsia="ru-RU"/>
        </w:rPr>
      </w:pPr>
      <w:r w:rsidRPr="008B1A8D">
        <w:rPr>
          <w:rFonts w:eastAsia="Times New Roman"/>
          <w:color w:val="auto"/>
          <w:u w:val="none"/>
          <w:lang w:eastAsia="ru-RU"/>
        </w:rPr>
        <w:t>Финансовое обеспечение государственных (муниципальных) учреждений: современные технологии и практики.</w:t>
      </w:r>
    </w:p>
    <w:p w14:paraId="5670BCFE" w14:textId="77777777" w:rsidR="008B1A8D" w:rsidRPr="008B1A8D" w:rsidRDefault="008B1A8D" w:rsidP="008B1A8D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362" w:lineRule="auto"/>
        <w:ind w:left="0" w:right="25" w:firstLine="709"/>
        <w:jc w:val="both"/>
        <w:rPr>
          <w:rFonts w:eastAsia="Times New Roman"/>
          <w:color w:val="auto"/>
          <w:u w:val="none"/>
          <w:lang w:eastAsia="ru-RU"/>
        </w:rPr>
      </w:pPr>
      <w:r w:rsidRPr="008B1A8D">
        <w:rPr>
          <w:rFonts w:eastAsia="Times New Roman"/>
          <w:color w:val="auto"/>
          <w:u w:val="none"/>
          <w:lang w:eastAsia="ru-RU"/>
        </w:rPr>
        <w:t>Бюджетные инвестиции и их роль в реализации приоритетов социально-экономического развития территорий.</w:t>
      </w:r>
    </w:p>
    <w:p w14:paraId="3E0F4AF1" w14:textId="77777777" w:rsidR="008B1A8D" w:rsidRPr="008B1A8D" w:rsidRDefault="008B1A8D" w:rsidP="008B1A8D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362" w:lineRule="auto"/>
        <w:ind w:left="0" w:right="25" w:firstLine="709"/>
        <w:jc w:val="both"/>
        <w:rPr>
          <w:rFonts w:eastAsia="Times New Roman"/>
          <w:color w:val="auto"/>
          <w:u w:val="none"/>
          <w:lang w:eastAsia="ru-RU"/>
        </w:rPr>
      </w:pPr>
      <w:r w:rsidRPr="008B1A8D">
        <w:rPr>
          <w:rFonts w:eastAsia="Times New Roman"/>
          <w:color w:val="auto"/>
          <w:u w:val="none"/>
          <w:lang w:eastAsia="ru-RU"/>
        </w:rPr>
        <w:t>Финансовое обеспечение государственных (муниципальных) учреждений: современные технологии и практики.</w:t>
      </w:r>
    </w:p>
    <w:bookmarkEnd w:id="0"/>
    <w:p w14:paraId="1FDFDF3B" w14:textId="77777777" w:rsidR="007B47C6" w:rsidRDefault="007B47C6"/>
    <w:sectPr w:rsidR="007B4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472B4E"/>
    <w:multiLevelType w:val="hybridMultilevel"/>
    <w:tmpl w:val="E41A6D86"/>
    <w:lvl w:ilvl="0" w:tplc="FFFFFFFF">
      <w:start w:val="1"/>
      <w:numFmt w:val="decimal"/>
      <w:lvlText w:val="%1."/>
      <w:lvlJc w:val="left"/>
      <w:pPr>
        <w:ind w:left="1427" w:hanging="360"/>
      </w:pPr>
    </w:lvl>
    <w:lvl w:ilvl="1" w:tplc="FFFFFFFF" w:tentative="1">
      <w:start w:val="1"/>
      <w:numFmt w:val="lowerLetter"/>
      <w:lvlText w:val="%2."/>
      <w:lvlJc w:val="left"/>
      <w:pPr>
        <w:ind w:left="2147" w:hanging="360"/>
      </w:pPr>
    </w:lvl>
    <w:lvl w:ilvl="2" w:tplc="FFFFFFFF" w:tentative="1">
      <w:start w:val="1"/>
      <w:numFmt w:val="lowerRoman"/>
      <w:lvlText w:val="%3."/>
      <w:lvlJc w:val="right"/>
      <w:pPr>
        <w:ind w:left="2867" w:hanging="180"/>
      </w:pPr>
    </w:lvl>
    <w:lvl w:ilvl="3" w:tplc="FFFFFFFF" w:tentative="1">
      <w:start w:val="1"/>
      <w:numFmt w:val="decimal"/>
      <w:lvlText w:val="%4."/>
      <w:lvlJc w:val="left"/>
      <w:pPr>
        <w:ind w:left="3587" w:hanging="360"/>
      </w:pPr>
    </w:lvl>
    <w:lvl w:ilvl="4" w:tplc="FFFFFFFF" w:tentative="1">
      <w:start w:val="1"/>
      <w:numFmt w:val="lowerLetter"/>
      <w:lvlText w:val="%5."/>
      <w:lvlJc w:val="left"/>
      <w:pPr>
        <w:ind w:left="4307" w:hanging="360"/>
      </w:pPr>
    </w:lvl>
    <w:lvl w:ilvl="5" w:tplc="FFFFFFFF" w:tentative="1">
      <w:start w:val="1"/>
      <w:numFmt w:val="lowerRoman"/>
      <w:lvlText w:val="%6."/>
      <w:lvlJc w:val="right"/>
      <w:pPr>
        <w:ind w:left="5027" w:hanging="180"/>
      </w:pPr>
    </w:lvl>
    <w:lvl w:ilvl="6" w:tplc="FFFFFFFF" w:tentative="1">
      <w:start w:val="1"/>
      <w:numFmt w:val="decimal"/>
      <w:lvlText w:val="%7."/>
      <w:lvlJc w:val="left"/>
      <w:pPr>
        <w:ind w:left="5747" w:hanging="360"/>
      </w:pPr>
    </w:lvl>
    <w:lvl w:ilvl="7" w:tplc="FFFFFFFF" w:tentative="1">
      <w:start w:val="1"/>
      <w:numFmt w:val="lowerLetter"/>
      <w:lvlText w:val="%8."/>
      <w:lvlJc w:val="left"/>
      <w:pPr>
        <w:ind w:left="6467" w:hanging="360"/>
      </w:pPr>
    </w:lvl>
    <w:lvl w:ilvl="8" w:tplc="FFFFFFFF" w:tentative="1">
      <w:start w:val="1"/>
      <w:numFmt w:val="lowerRoman"/>
      <w:lvlText w:val="%9."/>
      <w:lvlJc w:val="right"/>
      <w:pPr>
        <w:ind w:left="7187" w:hanging="180"/>
      </w:pPr>
    </w:lvl>
  </w:abstractNum>
  <w:num w:numId="1" w16cid:durableId="2035307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A8D"/>
    <w:rsid w:val="000C1753"/>
    <w:rsid w:val="00300217"/>
    <w:rsid w:val="003B2E43"/>
    <w:rsid w:val="00495899"/>
    <w:rsid w:val="00632843"/>
    <w:rsid w:val="007B47C6"/>
    <w:rsid w:val="008B1A8D"/>
    <w:rsid w:val="008B7DCF"/>
    <w:rsid w:val="00A12317"/>
    <w:rsid w:val="00BB41CD"/>
    <w:rsid w:val="00BF3960"/>
    <w:rsid w:val="00E2384B"/>
    <w:rsid w:val="00FF5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0EC40"/>
  <w15:chartTrackingRefBased/>
  <w15:docId w15:val="{E5E8E33B-3622-4247-A96A-AFDB11FB6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2C7FCE" w:themeColor="text2" w:themeTint="99"/>
        <w:sz w:val="28"/>
        <w:szCs w:val="28"/>
        <w:u w:val="single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1A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1A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1A8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1A8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1A8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1A8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1A8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1A8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1A8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1A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B1A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B1A8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8B1A8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B1A8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B1A8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B1A8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B1A8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B1A8D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B1A8D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B1A8D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1A8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8B1A8D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8B1A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B1A8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B1A8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B1A8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B1A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B1A8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B1A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667</Words>
  <Characters>3803</Characters>
  <Application>Microsoft Office Word</Application>
  <DocSecurity>0</DocSecurity>
  <Lines>31</Lines>
  <Paragraphs>8</Paragraphs>
  <ScaleCrop>false</ScaleCrop>
  <Company/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Рощектаев</dc:creator>
  <cp:keywords/>
  <dc:description/>
  <cp:lastModifiedBy>Сергей Рощектаев</cp:lastModifiedBy>
  <cp:revision>2</cp:revision>
  <dcterms:created xsi:type="dcterms:W3CDTF">2024-09-28T05:26:00Z</dcterms:created>
  <dcterms:modified xsi:type="dcterms:W3CDTF">2025-04-16T15:37:00Z</dcterms:modified>
</cp:coreProperties>
</file>