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smallCaps w:val="0"/>
          <w:strike w:val="0"/>
          <w:color w:val="000000"/>
          <w:sz w:val="22"/>
          <w:u w:val="none"/>
        </w:rPr>
      </w:pPr>
    </w:p>
    <w:tbl>
      <w:tblPr>
        <w:tblStyle w:val="Style_1"/>
        <w:tblInd w:type="dxa" w:w="0"/>
        <w:tblLayout w:type="fixed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02000000">
            <w:bookmarkStart w:id="1" w:name="_heading=h.gjdgxs"/>
            <w:bookmarkEnd w:id="1"/>
          </w:p>
        </w:tc>
        <w:tc>
          <w:tcPr>
            <w:tcW w:type="dxa" w:w="2415"/>
            <w:shd w:fill="auto" w:val="clear"/>
            <w:vAlign w:val="bottom"/>
          </w:tcPr>
          <w:p w14:paraId="03000000"/>
        </w:tc>
        <w:tc>
          <w:tcPr>
            <w:tcW w:type="dxa" w:w="1733"/>
            <w:shd w:fill="auto" w:val="clear"/>
            <w:vAlign w:val="bottom"/>
          </w:tcPr>
          <w:p w14:paraId="04000000"/>
        </w:tc>
        <w:tc>
          <w:tcPr>
            <w:tcW w:type="dxa" w:w="171"/>
            <w:shd w:fill="auto" w:val="clear"/>
            <w:vAlign w:val="bottom"/>
          </w:tcPr>
          <w:p w14:paraId="05000000"/>
        </w:tc>
        <w:tc>
          <w:tcPr>
            <w:tcW w:type="dxa" w:w="3058"/>
            <w:shd w:fill="auto" w:val="clear"/>
            <w:vAlign w:val="bottom"/>
          </w:tcPr>
          <w:p w14:paraId="06000000"/>
        </w:tc>
        <w:tc>
          <w:tcPr>
            <w:tcW w:type="dxa" w:w="459"/>
            <w:shd w:fill="auto" w:val="clear"/>
            <w:vAlign w:val="bottom"/>
          </w:tcPr>
          <w:p w14:paraId="07000000"/>
        </w:tc>
        <w:tc>
          <w:tcPr>
            <w:tcW w:type="dxa" w:w="171"/>
            <w:shd w:fill="auto" w:val="clear"/>
            <w:vAlign w:val="bottom"/>
          </w:tcPr>
          <w:p w14:paraId="08000000"/>
        </w:tc>
        <w:tc>
          <w:tcPr>
            <w:tcW w:type="dxa" w:w="2021"/>
            <w:shd w:fill="auto" w:val="clear"/>
            <w:vAlign w:val="bottom"/>
          </w:tcPr>
          <w:p w14:paraId="09000000"/>
        </w:tc>
        <w:tc>
          <w:tcPr>
            <w:tcW w:type="dxa" w:w="171"/>
            <w:shd w:fill="auto" w:val="clear"/>
            <w:vAlign w:val="bottom"/>
          </w:tcPr>
          <w:p w14:paraId="0A000000"/>
        </w:tc>
      </w:tr>
      <w:tr>
        <w:trPr>
          <w:trHeight w:hRule="atLeast" w:val="1050"/>
        </w:trPr>
        <w:tc>
          <w:tcPr>
            <w:tcW w:type="dxa" w:w="630"/>
            <w:shd w:fill="auto" w:val="clear"/>
            <w:vAlign w:val="bottom"/>
          </w:tcPr>
          <w:p w14:paraId="0B000000"/>
        </w:tc>
        <w:tc>
          <w:tcPr>
            <w:tcW w:type="dxa" w:w="2415"/>
            <w:shd w:fill="auto" w:val="clear"/>
            <w:vAlign w:val="bottom"/>
          </w:tcPr>
          <w:p w14:paraId="0C000000"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914525" cy="644525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914525" cy="6445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"/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000000">
                                  <w:pPr>
                                    <w:pStyle w:val="Style_2"/>
                                    <w:spacing w:after="0" w:before="0" w:line="240" w:lineRule="auto"/>
                                    <w:ind w:firstLine="0" w:left="0" w:right="0"/>
                                    <w:jc w:val="left"/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anchor="ctr" bIns="91425" lIns="91425" rIns="91425" tIns="91425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1733"/>
            <w:shd w:fill="auto" w:val="clear"/>
            <w:vAlign w:val="bottom"/>
          </w:tcPr>
          <w:p w14:paraId="0E000000"/>
        </w:tc>
        <w:tc>
          <w:tcPr>
            <w:tcW w:type="dxa" w:w="171"/>
            <w:shd w:fill="auto" w:val="clear"/>
            <w:vAlign w:val="bottom"/>
          </w:tcPr>
          <w:p w14:paraId="0F000000"/>
        </w:tc>
        <w:tc>
          <w:tcPr>
            <w:tcW w:type="dxa" w:w="3058"/>
            <w:shd w:fill="auto" w:val="clear"/>
            <w:vAlign w:val="bottom"/>
          </w:tcPr>
          <w:p w14:paraId="10000000"/>
        </w:tc>
        <w:tc>
          <w:tcPr>
            <w:tcW w:type="dxa" w:w="2651"/>
            <w:gridSpan w:val="3"/>
            <w:shd w:fill="auto" w:val="clear"/>
            <w:vAlign w:val="center"/>
          </w:tcPr>
          <w:p w14:paraId="11000000">
            <w:pPr>
              <w:ind/>
              <w:jc w:val="right"/>
              <w:rPr>
                <w:strike w:val="1"/>
              </w:rPr>
            </w:pPr>
          </w:p>
        </w:tc>
        <w:tc>
          <w:tcPr>
            <w:tcW w:type="dxa" w:w="171"/>
            <w:shd w:fill="auto" w:val="clear"/>
            <w:vAlign w:val="bottom"/>
          </w:tcPr>
          <w:p w14:paraId="12000000"/>
        </w:tc>
      </w:tr>
      <w:tr>
        <w:trPr>
          <w:trHeight w:hRule="atLeast" w:val="1245"/>
        </w:trPr>
        <w:tc>
          <w:tcPr>
            <w:tcW w:type="dxa" w:w="630"/>
            <w:shd w:fill="auto" w:val="clear"/>
            <w:vAlign w:val="bottom"/>
          </w:tcPr>
          <w:p w14:paraId="13000000"/>
        </w:tc>
        <w:tc>
          <w:tcPr>
            <w:tcW w:type="dxa" w:w="10199"/>
            <w:gridSpan w:val="8"/>
            <w:shd w:fill="auto" w:val="clear"/>
            <w:vAlign w:val="center"/>
          </w:tcPr>
          <w:p w14:paraId="14000000">
            <w:pPr>
              <w:ind/>
              <w:jc w:val="center"/>
            </w:pPr>
            <w:r>
              <w:rPr>
                <w:rFonts w:ascii="Times New Roman" w:hAnsi="Times New Roman"/>
                <w:sz w:val="36"/>
              </w:rPr>
              <w:t>СОГЛАСИЕ</w:t>
            </w:r>
            <w:r>
              <w:rPr>
                <w:rFonts w:ascii="Times New Roman" w:hAnsi="Times New Roman"/>
                <w:sz w:val="36"/>
              </w:rPr>
              <w:br/>
            </w:r>
            <w:r>
              <w:rPr>
                <w:rFonts w:ascii="Times New Roman" w:hAnsi="Times New Roman"/>
                <w:sz w:val="36"/>
              </w:rPr>
              <w:t>на обработку персональных данных</w:t>
            </w:r>
          </w:p>
        </w:tc>
      </w:tr>
      <w:tr>
        <w:tc>
          <w:tcPr>
            <w:tcW w:type="dxa" w:w="630"/>
            <w:shd w:fill="auto" w:val="clear"/>
            <w:vAlign w:val="bottom"/>
          </w:tcPr>
          <w:p w14:paraId="15000000"/>
        </w:tc>
        <w:tc>
          <w:tcPr>
            <w:tcW w:type="dxa" w:w="10199"/>
            <w:gridSpan w:val="8"/>
            <w:shd w:fill="auto" w:val="clear"/>
            <w:vAlign w:val="bottom"/>
          </w:tcPr>
          <w:p w14:paraId="16000000">
            <w:pPr>
              <w:ind/>
              <w:jc w:val="both"/>
              <w:rPr>
                <w:rFonts w:ascii="Times New Roman" w:hAnsi="Times New Roman"/>
                <w:color w:val="C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Я, __________________________________, проживающий (ая) по адресу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 xml:space="preserve">,  серия и номер паспорта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0"/>
              </w:rPr>
              <w:t>выдан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, дата выдачи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 w:val="20"/>
              </w:rPr>
              <w:t xml:space="preserve">  (далее – </w:t>
            </w:r>
            <w:r>
              <w:rPr>
                <w:rFonts w:ascii="Times New Roman" w:hAnsi="Times New Roman"/>
              </w:rPr>
              <w:t>Субъект ПД</w:t>
            </w:r>
            <w:r>
              <w:rPr>
                <w:rFonts w:ascii="Times New Roman" w:hAnsi="Times New Roman"/>
                <w:sz w:val="20"/>
              </w:rPr>
              <w:t xml:space="preserve">) свободно, своей волей и в своем интересе в соответствии с Федеральным законом от 27.07.2006 № 152-ФЗ «О персональных данных» (далее – Федеральный закон), в том числе с частью 1 статьи 10.1 и частью 1 статьи 9 Федерального закона,  даю 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Правительстве Российской Федерации” (далее – Финуниверситет), место нахождения: г. Москва, ул. Ленинградский пр-т, д.49/2. </w:t>
            </w:r>
          </w:p>
          <w:p w14:paraId="17000000">
            <w:pPr>
              <w:ind/>
              <w:jc w:val="both"/>
            </w:pPr>
            <w:r>
              <w:rPr>
                <w:rFonts w:ascii="Times New Roman" w:hAnsi="Times New Roman"/>
                <w:sz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>
        <w:tc>
          <w:tcPr>
            <w:tcW w:type="dxa" w:w="630"/>
            <w:shd w:fill="auto" w:val="clear"/>
            <w:vAlign w:val="bottom"/>
          </w:tcPr>
          <w:p w14:paraId="18000000"/>
        </w:tc>
        <w:tc>
          <w:tcPr>
            <w:tcW w:type="dxa" w:w="2415"/>
            <w:shd w:fill="auto" w:val="clear"/>
            <w:vAlign w:val="center"/>
          </w:tcPr>
          <w:p w14:paraId="19000000">
            <w:pPr>
              <w:ind/>
              <w:jc w:val="center"/>
            </w:pPr>
          </w:p>
        </w:tc>
        <w:tc>
          <w:tcPr>
            <w:tcW w:type="dxa" w:w="1733"/>
            <w:shd w:fill="auto" w:val="clear"/>
            <w:vAlign w:val="center"/>
          </w:tcPr>
          <w:p w14:paraId="1A000000">
            <w:pPr>
              <w:ind/>
              <w:jc w:val="center"/>
            </w:pPr>
          </w:p>
        </w:tc>
        <w:tc>
          <w:tcPr>
            <w:tcW w:type="dxa" w:w="171"/>
            <w:shd w:fill="auto" w:val="clear"/>
            <w:vAlign w:val="bottom"/>
          </w:tcPr>
          <w:p w14:paraId="1B000000"/>
        </w:tc>
        <w:tc>
          <w:tcPr>
            <w:tcW w:type="dxa" w:w="3058"/>
            <w:shd w:fill="auto" w:val="clear"/>
            <w:vAlign w:val="bottom"/>
          </w:tcPr>
          <w:p w14:paraId="1C000000"/>
        </w:tc>
        <w:tc>
          <w:tcPr>
            <w:tcW w:type="dxa" w:w="459"/>
            <w:shd w:fill="auto" w:val="clear"/>
            <w:vAlign w:val="bottom"/>
          </w:tcPr>
          <w:p w14:paraId="1D000000"/>
        </w:tc>
        <w:tc>
          <w:tcPr>
            <w:tcW w:type="dxa" w:w="171"/>
            <w:shd w:fill="auto" w:val="clear"/>
            <w:vAlign w:val="bottom"/>
          </w:tcPr>
          <w:p w14:paraId="1E000000"/>
        </w:tc>
        <w:tc>
          <w:tcPr>
            <w:tcW w:type="dxa" w:w="2021"/>
            <w:shd w:fill="auto" w:val="clear"/>
            <w:vAlign w:val="center"/>
          </w:tcPr>
          <w:p w14:paraId="1F000000">
            <w:pPr>
              <w:ind/>
              <w:jc w:val="center"/>
            </w:pPr>
          </w:p>
        </w:tc>
        <w:tc>
          <w:tcPr>
            <w:tcW w:type="dxa" w:w="171"/>
            <w:shd w:fill="auto" w:val="clear"/>
            <w:vAlign w:val="bottom"/>
          </w:tcPr>
          <w:p w14:paraId="20000000"/>
        </w:tc>
      </w:tr>
      <w:tr>
        <w:tc>
          <w:tcPr>
            <w:tcW w:type="dxa" w:w="630"/>
            <w:shd w:fill="auto" w:val="clear"/>
            <w:vAlign w:val="bottom"/>
          </w:tcPr>
          <w:p w14:paraId="21000000"/>
        </w:tc>
        <w:tc>
          <w:tcPr>
            <w:tcW w:type="dxa" w:w="241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center"/>
          </w:tcPr>
          <w:p w14:paraId="22000000">
            <w:pPr>
              <w:ind/>
              <w:jc w:val="center"/>
            </w:pPr>
            <w:r>
              <w:rPr>
                <w:rFonts w:ascii="Times New Roman" w:hAnsi="Times New Roman"/>
                <w:b w:val="1"/>
              </w:rPr>
              <w:t>объем (перечень) обрабатываемых</w:t>
            </w:r>
            <w:r>
              <w:rPr>
                <w:rFonts w:ascii="Times New Roman" w:hAnsi="Times New Roman"/>
                <w:b w:val="1"/>
              </w:rPr>
              <w:br/>
            </w:r>
            <w:r>
              <w:rPr>
                <w:rFonts w:ascii="Times New Roman" w:hAnsi="Times New Roman"/>
                <w:b w:val="1"/>
              </w:rPr>
              <w:t>персональных данных</w:t>
            </w:r>
          </w:p>
        </w:tc>
        <w:tc>
          <w:tcPr>
            <w:tcW w:type="dxa" w:w="5592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center"/>
          </w:tcPr>
          <w:p w14:paraId="23000000">
            <w:pPr>
              <w:ind/>
              <w:jc w:val="center"/>
            </w:pPr>
            <w:r>
              <w:rPr>
                <w:rFonts w:ascii="Times New Roman" w:hAnsi="Times New Roman"/>
                <w:b w:val="1"/>
              </w:rPr>
              <w:t>цель обработки персональных данных</w:t>
            </w:r>
          </w:p>
        </w:tc>
        <w:tc>
          <w:tcPr>
            <w:tcW w:type="dxa" w:w="202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</w:pPr>
            <w:r>
              <w:rPr>
                <w:rFonts w:ascii="Times New Roman" w:hAnsi="Times New Roman"/>
                <w:b w:val="1"/>
              </w:rPr>
              <w:t>способы обработки персональных данных</w:t>
            </w:r>
          </w:p>
        </w:tc>
        <w:tc>
          <w:tcPr>
            <w:tcW w:type="dxa" w:w="171"/>
            <w:shd w:fill="auto" w:val="clear"/>
            <w:vAlign w:val="bottom"/>
          </w:tcPr>
          <w:p w14:paraId="25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26000000"/>
        </w:tc>
        <w:tc>
          <w:tcPr>
            <w:tcW w:type="dxa" w:w="241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</w:tcPr>
          <w:p w14:paraId="27000000">
            <w:r>
              <w:rPr>
                <w:rFonts w:ascii="Times New Roman" w:hAnsi="Times New Roman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type="dxa" w:w="5592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</w:tcPr>
          <w:p w14:paraId="28000000">
            <w:r>
              <w:rPr>
                <w:rFonts w:ascii="Times New Roman" w:hAnsi="Times New Roman"/>
              </w:rPr>
              <w:t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возможности участия Субъекта ПД в приемной кампании Финуниверситета;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Финуниверситета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ПД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ПД перепроверки своих действий, для обеспечения открытости и прозрачности приемной кампании; 5. анализ интересов Субъекта ПД, раскрытие и развитие талантов и способностей Субъекта ПД, проведение его опросов; 6. предоставление Субъекту ПД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ПД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заказчика об успеваемости Субъекта ПД и отношении Субъекта ПД к учебе, в случае, если заказчиком образовательных услуг, оказываемых Субъекту ПД, станет третье лицо; 10. размещение на корпоративном портале (сайте) Финуниверситета сведений о прохождении Субъектом ПД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11. предоставление Субъекту ПД полной и достоверной информации об оценке его знаний, умений и навыков;</w:t>
            </w:r>
          </w:p>
        </w:tc>
        <w:tc>
          <w:tcPr>
            <w:tcW w:type="dxa" w:w="202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</w:tcPr>
          <w:p w14:paraId="29000000">
            <w:r>
              <w:rPr>
                <w:rFonts w:ascii="Times New Roman" w:hAnsi="Times New Roman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type="dxa" w:w="171"/>
            <w:shd w:fill="auto" w:val="clear"/>
            <w:vAlign w:val="bottom"/>
          </w:tcPr>
          <w:p w14:paraId="2A000000"/>
        </w:tc>
      </w:tr>
    </w:tbl>
    <w:p w14:paraId="2B000000">
      <w:r>
        <w:br w:type="page"/>
      </w:r>
    </w:p>
    <w:tbl>
      <w:tblPr>
        <w:tblStyle w:val="Style_3"/>
        <w:tblInd w:type="dxa" w:w="0"/>
        <w:tblLayout w:type="fixed"/>
      </w:tblPr>
      <w:tblGrid>
        <w:gridCol w:w="630"/>
        <w:gridCol w:w="2490"/>
        <w:gridCol w:w="1665"/>
        <w:gridCol w:w="171"/>
        <w:gridCol w:w="3058"/>
        <w:gridCol w:w="459"/>
        <w:gridCol w:w="171"/>
        <w:gridCol w:w="2021"/>
        <w:gridCol w:w="171"/>
      </w:tblGrid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2C000000"/>
        </w:tc>
        <w:tc>
          <w:tcPr>
            <w:tcW w:type="dxa" w:w="2490"/>
            <w:shd w:fill="auto" w:val="clear"/>
            <w:vAlign w:val="bottom"/>
          </w:tcPr>
          <w:p w14:paraId="2D000000"/>
        </w:tc>
        <w:tc>
          <w:tcPr>
            <w:tcW w:type="dxa" w:w="1665"/>
            <w:shd w:fill="auto" w:val="clear"/>
            <w:vAlign w:val="bottom"/>
          </w:tcPr>
          <w:p w14:paraId="2E000000"/>
        </w:tc>
        <w:tc>
          <w:tcPr>
            <w:tcW w:type="dxa" w:w="171"/>
            <w:shd w:fill="auto" w:val="clear"/>
            <w:vAlign w:val="bottom"/>
          </w:tcPr>
          <w:p w14:paraId="2F000000"/>
        </w:tc>
        <w:tc>
          <w:tcPr>
            <w:tcW w:type="dxa" w:w="3058"/>
            <w:shd w:fill="auto" w:val="clear"/>
            <w:vAlign w:val="bottom"/>
          </w:tcPr>
          <w:p w14:paraId="30000000"/>
        </w:tc>
        <w:tc>
          <w:tcPr>
            <w:tcW w:type="dxa" w:w="459"/>
            <w:shd w:fill="auto" w:val="clear"/>
            <w:vAlign w:val="bottom"/>
          </w:tcPr>
          <w:p w14:paraId="31000000"/>
        </w:tc>
        <w:tc>
          <w:tcPr>
            <w:tcW w:type="dxa" w:w="171"/>
            <w:shd w:fill="auto" w:val="clear"/>
            <w:vAlign w:val="bottom"/>
          </w:tcPr>
          <w:p w14:paraId="32000000"/>
        </w:tc>
        <w:tc>
          <w:tcPr>
            <w:tcW w:type="dxa" w:w="2021"/>
            <w:shd w:fill="auto" w:val="clear"/>
            <w:vAlign w:val="bottom"/>
          </w:tcPr>
          <w:p w14:paraId="33000000"/>
        </w:tc>
        <w:tc>
          <w:tcPr>
            <w:tcW w:type="dxa" w:w="171"/>
            <w:shd w:fill="auto" w:val="clear"/>
            <w:vAlign w:val="bottom"/>
          </w:tcPr>
          <w:p w14:paraId="34000000"/>
        </w:tc>
      </w:tr>
      <w:tr>
        <w:tc>
          <w:tcPr>
            <w:tcW w:type="dxa" w:w="630"/>
            <w:shd w:fill="auto" w:val="clear"/>
            <w:vAlign w:val="bottom"/>
          </w:tcPr>
          <w:p w14:paraId="35000000"/>
        </w:tc>
        <w:tc>
          <w:tcPr>
            <w:tcW w:type="dxa" w:w="249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</w:pPr>
            <w:r>
              <w:rPr>
                <w:rFonts w:ascii="Times New Roman" w:hAnsi="Times New Roman"/>
                <w:b w:val="1"/>
              </w:rPr>
              <w:t>объем (перечень) обрабатываемых</w:t>
            </w:r>
            <w:r>
              <w:rPr>
                <w:rFonts w:ascii="Times New Roman" w:hAnsi="Times New Roman"/>
                <w:b w:val="1"/>
              </w:rPr>
              <w:br/>
            </w:r>
            <w:r>
              <w:rPr>
                <w:rFonts w:ascii="Times New Roman" w:hAnsi="Times New Roman"/>
                <w:b w:val="1"/>
              </w:rPr>
              <w:t>персональных данных</w:t>
            </w:r>
          </w:p>
        </w:tc>
        <w:tc>
          <w:tcPr>
            <w:tcW w:type="dxa" w:w="5524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center"/>
          </w:tcPr>
          <w:p w14:paraId="37000000">
            <w:pPr>
              <w:ind/>
              <w:jc w:val="center"/>
            </w:pPr>
            <w:r>
              <w:rPr>
                <w:rFonts w:ascii="Times New Roman" w:hAnsi="Times New Roman"/>
                <w:b w:val="1"/>
              </w:rPr>
              <w:t>цель обработки персональных данных</w:t>
            </w:r>
          </w:p>
        </w:tc>
        <w:tc>
          <w:tcPr>
            <w:tcW w:type="dxa" w:w="202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</w:pPr>
            <w:r>
              <w:rPr>
                <w:rFonts w:ascii="Times New Roman" w:hAnsi="Times New Roman"/>
                <w:b w:val="1"/>
              </w:rPr>
              <w:t>способы обработки персональных данных</w:t>
            </w:r>
          </w:p>
        </w:tc>
        <w:tc>
          <w:tcPr>
            <w:tcW w:type="dxa" w:w="171"/>
            <w:shd w:fill="auto" w:val="clear"/>
            <w:vAlign w:val="bottom"/>
          </w:tcPr>
          <w:p w14:paraId="39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3A000000"/>
        </w:tc>
        <w:tc>
          <w:tcPr>
            <w:tcW w:type="dxa" w:w="249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</w:tcPr>
          <w:p w14:paraId="3B000000">
            <w:r>
              <w:rPr>
                <w:rFonts w:ascii="Times New Roman" w:hAnsi="Times New Roman"/>
              </w:rPr>
              <w:t>мероприятиях, проводимых Финуниверситетом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Финуниверситету, в связи с участием в приемной кампании Финуниверситета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type="dxa" w:w="5524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</w:tcPr>
          <w:p w14:paraId="3C000000">
            <w:r>
              <w:rPr>
                <w:rFonts w:ascii="Times New Roman" w:hAnsi="Times New Roman"/>
              </w:rPr>
              <w:t>12. обеспечение возможности участия Субъекта ПД в выполнении работ, в том числе научно-исследовательских, опытноконструкторских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персональных данных Субъекта ПД третьим лицам (учредителю, Правительству РФ, заказчикам); 13. обеспечение информирования Субъекта ПД о проводимых Финуниверситетом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Финуниверситете уровня безопасности, в том числе действующего пропускного режима и контроля его соблюдения, включая оформление кампусной карты, осуществление видеонаблюдения и видеозаписи на территории и в помещениях Финуниверситета; 15. идентификация личности Субъекта ПД; 16. продвижение товаров, работ, услуг Финуниверситета на рынке; 17. осуществление уставной деятельности Финуниверситета; 18. аккумуляция сведений о лицах, взаимодействующих с Финуниверситетом, и последующего архивного хранения таких сведений в информационных системах Финуниверситета,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type="dxa" w:w="202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vAlign w:val="bottom"/>
          </w:tcPr>
          <w:p w14:paraId="3D000000"/>
        </w:tc>
        <w:tc>
          <w:tcPr>
            <w:tcW w:type="dxa" w:w="171"/>
            <w:shd w:fill="auto" w:val="clear"/>
            <w:vAlign w:val="bottom"/>
          </w:tcPr>
          <w:p w14:paraId="3E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3F000000"/>
        </w:tc>
        <w:tc>
          <w:tcPr>
            <w:tcW w:type="dxa" w:w="2490"/>
            <w:shd w:fill="auto" w:val="clear"/>
            <w:vAlign w:val="bottom"/>
          </w:tcPr>
          <w:p w14:paraId="40000000"/>
        </w:tc>
        <w:tc>
          <w:tcPr>
            <w:tcW w:type="dxa" w:w="1665"/>
            <w:shd w:fill="auto" w:val="clear"/>
            <w:vAlign w:val="bottom"/>
          </w:tcPr>
          <w:p w14:paraId="41000000"/>
        </w:tc>
        <w:tc>
          <w:tcPr>
            <w:tcW w:type="dxa" w:w="171"/>
            <w:shd w:fill="auto" w:val="clear"/>
            <w:vAlign w:val="bottom"/>
          </w:tcPr>
          <w:p w14:paraId="42000000"/>
        </w:tc>
        <w:tc>
          <w:tcPr>
            <w:tcW w:type="dxa" w:w="3058"/>
            <w:shd w:fill="auto" w:val="clear"/>
            <w:vAlign w:val="bottom"/>
          </w:tcPr>
          <w:p w14:paraId="43000000"/>
        </w:tc>
        <w:tc>
          <w:tcPr>
            <w:tcW w:type="dxa" w:w="459"/>
            <w:shd w:fill="auto" w:val="clear"/>
            <w:vAlign w:val="bottom"/>
          </w:tcPr>
          <w:p w14:paraId="44000000"/>
        </w:tc>
        <w:tc>
          <w:tcPr>
            <w:tcW w:type="dxa" w:w="171"/>
            <w:shd w:fill="auto" w:val="clear"/>
            <w:vAlign w:val="bottom"/>
          </w:tcPr>
          <w:p w14:paraId="45000000"/>
        </w:tc>
        <w:tc>
          <w:tcPr>
            <w:tcW w:type="dxa" w:w="2021"/>
            <w:shd w:fill="auto" w:val="clear"/>
            <w:vAlign w:val="bottom"/>
          </w:tcPr>
          <w:p w14:paraId="46000000"/>
        </w:tc>
        <w:tc>
          <w:tcPr>
            <w:tcW w:type="dxa" w:w="171"/>
            <w:shd w:fill="auto" w:val="clear"/>
            <w:vAlign w:val="bottom"/>
          </w:tcPr>
          <w:p w14:paraId="47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48000000"/>
        </w:tc>
        <w:tc>
          <w:tcPr>
            <w:tcW w:type="dxa" w:w="10206"/>
            <w:gridSpan w:val="8"/>
            <w:shd w:fill="auto" w:val="clear"/>
          </w:tcPr>
          <w:p w14:paraId="49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 разрешаю распространение указанных выше персональных данных и даю согласие на обработку персональных данных, разрешенных мною для распространения.</w:t>
            </w:r>
          </w:p>
          <w:p w14:paraId="4A000000">
            <w:pPr>
              <w:ind/>
              <w:jc w:val="both"/>
            </w:pPr>
            <w:r>
              <w:rPr>
                <w:rFonts w:ascii="Times New Roman" w:hAnsi="Times New Roman"/>
                <w:sz w:val="22"/>
              </w:rPr>
              <w:t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Финуниверситет письменного заявления Субъекта ПД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Финуниверситета, в том числе во внутренние документы Финуниверситета, в период действия Согласия, могут передаваться третьим лицам. Финуниверситет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Финуниверситет не вправе распространять неограниченному кругу лиц персональные данные Субъекта ПД, относящиеся к состоянию его здоровья. Срок, в течение которого действует Согласие, составляет 5 (пять) лет с момента его предоставления. В случае, если Субъект ПД становится обучающимся Финуниверситета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ПД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Финуниверситет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>
        <w:trPr>
          <w:trHeight w:hRule="atLeast" w:val="450"/>
        </w:trPr>
        <w:tc>
          <w:tcPr>
            <w:tcW w:type="dxa" w:w="630"/>
            <w:shd w:fill="auto" w:val="clear"/>
            <w:vAlign w:val="bottom"/>
          </w:tcPr>
          <w:p w14:paraId="4B000000"/>
        </w:tc>
        <w:tc>
          <w:tcPr>
            <w:tcW w:type="dxa" w:w="2490"/>
            <w:shd w:fill="auto" w:val="clear"/>
            <w:vAlign w:val="bottom"/>
          </w:tcPr>
          <w:p w14:paraId="4C000000"/>
        </w:tc>
        <w:tc>
          <w:tcPr>
            <w:tcW w:type="dxa" w:w="1665"/>
            <w:shd w:fill="auto" w:val="clear"/>
            <w:vAlign w:val="bottom"/>
          </w:tcPr>
          <w:p w14:paraId="4D000000"/>
        </w:tc>
        <w:tc>
          <w:tcPr>
            <w:tcW w:type="dxa" w:w="171"/>
            <w:shd w:fill="auto" w:val="clear"/>
            <w:vAlign w:val="bottom"/>
          </w:tcPr>
          <w:p w14:paraId="4E000000"/>
        </w:tc>
        <w:tc>
          <w:tcPr>
            <w:tcW w:type="dxa" w:w="3058"/>
            <w:shd w:fill="auto" w:val="clear"/>
            <w:vAlign w:val="bottom"/>
          </w:tcPr>
          <w:p w14:paraId="4F000000"/>
        </w:tc>
        <w:tc>
          <w:tcPr>
            <w:tcW w:type="dxa" w:w="459"/>
            <w:shd w:fill="auto" w:val="clear"/>
            <w:vAlign w:val="bottom"/>
          </w:tcPr>
          <w:p w14:paraId="50000000"/>
        </w:tc>
        <w:tc>
          <w:tcPr>
            <w:tcW w:type="dxa" w:w="171"/>
            <w:shd w:fill="auto" w:val="clear"/>
            <w:vAlign w:val="bottom"/>
          </w:tcPr>
          <w:p w14:paraId="51000000"/>
        </w:tc>
        <w:tc>
          <w:tcPr>
            <w:tcW w:type="dxa" w:w="2021"/>
            <w:shd w:fill="auto" w:val="clear"/>
            <w:vAlign w:val="bottom"/>
          </w:tcPr>
          <w:p w14:paraId="52000000"/>
        </w:tc>
        <w:tc>
          <w:tcPr>
            <w:tcW w:type="dxa" w:w="171"/>
            <w:shd w:fill="auto" w:val="clear"/>
            <w:vAlign w:val="bottom"/>
          </w:tcPr>
          <w:p w14:paraId="53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54000000"/>
        </w:tc>
        <w:tc>
          <w:tcPr>
            <w:tcW w:type="dxa" w:w="4155"/>
            <w:gridSpan w:val="2"/>
            <w:tcBorders>
              <w:bottom w:color="000000" w:sz="5" w:val="single"/>
            </w:tcBorders>
            <w:shd w:fill="auto" w:val="clear"/>
            <w:vAlign w:val="bottom"/>
          </w:tcPr>
          <w:p w14:paraId="55000000"/>
        </w:tc>
        <w:tc>
          <w:tcPr>
            <w:tcW w:type="dxa" w:w="171"/>
            <w:shd w:fill="auto" w:val="clear"/>
            <w:vAlign w:val="bottom"/>
          </w:tcPr>
          <w:p w14:paraId="56000000"/>
        </w:tc>
        <w:tc>
          <w:tcPr>
            <w:tcW w:type="dxa" w:w="3058"/>
            <w:tcBorders>
              <w:bottom w:color="000000" w:sz="5" w:val="single"/>
            </w:tcBorders>
            <w:shd w:fill="auto" w:val="clear"/>
            <w:vAlign w:val="bottom"/>
          </w:tcPr>
          <w:p w14:paraId="57000000"/>
        </w:tc>
        <w:tc>
          <w:tcPr>
            <w:tcW w:type="dxa" w:w="459"/>
            <w:shd w:fill="auto" w:val="clear"/>
            <w:vAlign w:val="bottom"/>
          </w:tcPr>
          <w:p w14:paraId="58000000"/>
        </w:tc>
        <w:tc>
          <w:tcPr>
            <w:tcW w:type="dxa" w:w="2192"/>
            <w:gridSpan w:val="2"/>
            <w:tcBorders>
              <w:bottom w:color="000000" w:sz="5" w:val="single"/>
            </w:tcBorders>
            <w:shd w:fill="auto" w:val="clear"/>
            <w:vAlign w:val="bottom"/>
          </w:tcPr>
          <w:p w14:paraId="59000000">
            <w:pPr>
              <w:ind/>
              <w:jc w:val="center"/>
            </w:pPr>
          </w:p>
        </w:tc>
        <w:tc>
          <w:tcPr>
            <w:tcW w:type="dxa" w:w="171"/>
            <w:shd w:fill="auto" w:val="clear"/>
            <w:vAlign w:val="bottom"/>
          </w:tcPr>
          <w:p w14:paraId="5A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5B000000"/>
        </w:tc>
        <w:tc>
          <w:tcPr>
            <w:tcW w:type="dxa" w:w="4155"/>
            <w:gridSpan w:val="2"/>
            <w:shd w:fill="auto" w:val="clear"/>
          </w:tcPr>
          <w:p w14:paraId="5C000000">
            <w:pPr>
              <w:ind/>
              <w:jc w:val="center"/>
            </w:pPr>
            <w:r>
              <w:rPr>
                <w:rFonts w:ascii="Times New Roman" w:hAnsi="Times New Roman"/>
                <w:sz w:val="14"/>
              </w:rPr>
              <w:t>ФИО</w:t>
            </w:r>
          </w:p>
        </w:tc>
        <w:tc>
          <w:tcPr>
            <w:tcW w:type="dxa" w:w="3688"/>
            <w:gridSpan w:val="3"/>
            <w:shd w:fill="auto" w:val="clear"/>
          </w:tcPr>
          <w:p w14:paraId="5D000000">
            <w:pPr>
              <w:ind/>
              <w:jc w:val="center"/>
            </w:pPr>
            <w:r>
              <w:rPr>
                <w:rFonts w:ascii="Times New Roman" w:hAnsi="Times New Roman"/>
                <w:sz w:val="14"/>
              </w:rPr>
              <w:t>подпись</w:t>
            </w:r>
          </w:p>
        </w:tc>
        <w:tc>
          <w:tcPr>
            <w:tcW w:type="dxa" w:w="2192"/>
            <w:gridSpan w:val="2"/>
            <w:shd w:fill="auto" w:val="clear"/>
          </w:tcPr>
          <w:p w14:paraId="5E000000">
            <w:pPr>
              <w:ind/>
              <w:jc w:val="center"/>
            </w:pPr>
            <w:r>
              <w:rPr>
                <w:rFonts w:ascii="Times New Roman" w:hAnsi="Times New Roman"/>
                <w:sz w:val="14"/>
              </w:rPr>
              <w:t>дата</w:t>
            </w:r>
          </w:p>
        </w:tc>
        <w:tc>
          <w:tcPr>
            <w:tcW w:type="dxa" w:w="171"/>
            <w:shd w:fill="auto" w:val="clear"/>
            <w:vAlign w:val="bottom"/>
          </w:tcPr>
          <w:p w14:paraId="5F000000"/>
        </w:tc>
      </w:tr>
      <w:tr>
        <w:trPr>
          <w:trHeight w:hRule="atLeast" w:val="60"/>
        </w:trPr>
        <w:tc>
          <w:tcPr>
            <w:tcW w:type="dxa" w:w="630"/>
            <w:shd w:fill="auto" w:val="clear"/>
            <w:vAlign w:val="bottom"/>
          </w:tcPr>
          <w:p w14:paraId="60000000"/>
        </w:tc>
        <w:tc>
          <w:tcPr>
            <w:tcW w:type="dxa" w:w="2490"/>
            <w:shd w:fill="auto" w:val="clear"/>
            <w:vAlign w:val="bottom"/>
          </w:tcPr>
          <w:p w14:paraId="61000000"/>
        </w:tc>
        <w:tc>
          <w:tcPr>
            <w:tcW w:type="dxa" w:w="1665"/>
            <w:shd w:fill="auto" w:val="clear"/>
            <w:vAlign w:val="bottom"/>
          </w:tcPr>
          <w:p w14:paraId="62000000"/>
        </w:tc>
        <w:tc>
          <w:tcPr>
            <w:tcW w:type="dxa" w:w="171"/>
            <w:shd w:fill="auto" w:val="clear"/>
            <w:vAlign w:val="bottom"/>
          </w:tcPr>
          <w:p w14:paraId="63000000"/>
        </w:tc>
        <w:tc>
          <w:tcPr>
            <w:tcW w:type="dxa" w:w="3058"/>
            <w:shd w:fill="auto" w:val="clear"/>
            <w:vAlign w:val="bottom"/>
          </w:tcPr>
          <w:p w14:paraId="64000000"/>
        </w:tc>
        <w:tc>
          <w:tcPr>
            <w:tcW w:type="dxa" w:w="459"/>
            <w:shd w:fill="auto" w:val="clear"/>
            <w:vAlign w:val="bottom"/>
          </w:tcPr>
          <w:p w14:paraId="65000000"/>
        </w:tc>
        <w:tc>
          <w:tcPr>
            <w:tcW w:type="dxa" w:w="171"/>
            <w:shd w:fill="auto" w:val="clear"/>
            <w:vAlign w:val="bottom"/>
          </w:tcPr>
          <w:p w14:paraId="66000000"/>
        </w:tc>
        <w:tc>
          <w:tcPr>
            <w:tcW w:type="dxa" w:w="2021"/>
            <w:shd w:fill="auto" w:val="clear"/>
            <w:vAlign w:val="bottom"/>
          </w:tcPr>
          <w:p w14:paraId="67000000"/>
        </w:tc>
        <w:tc>
          <w:tcPr>
            <w:tcW w:type="dxa" w:w="171"/>
            <w:shd w:fill="auto" w:val="clear"/>
            <w:vAlign w:val="bottom"/>
          </w:tcPr>
          <w:p w14:paraId="68000000"/>
        </w:tc>
      </w:tr>
    </w:tbl>
    <w:p w14:paraId="69000000"/>
    <w:sectPr>
      <w:pgSz w:h="16839" w:orient="portrait" w:w="11907"/>
      <w:pgMar w:bottom="0" w:footer="720" w:header="720" w:left="0" w:right="0" w:top="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spacing w:after="80" w:before="280"/>
      <w:ind/>
      <w:outlineLvl w:val="2"/>
    </w:pPr>
    <w:rPr>
      <w:b w:val="1"/>
      <w:sz w:val="28"/>
    </w:rPr>
  </w:style>
  <w:style w:styleId="Style_8_ch" w:type="character">
    <w:name w:val="heading 3"/>
    <w:basedOn w:val="Style_2_ch"/>
    <w:link w:val="Style_8"/>
    <w:rPr>
      <w:b w:val="1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pageBreakBefore w:val="0"/>
      <w:spacing w:after="40" w:before="220"/>
      <w:ind/>
      <w:outlineLvl w:val="4"/>
    </w:pPr>
    <w:rPr>
      <w:b w:val="1"/>
      <w:sz w:val="22"/>
    </w:rPr>
  </w:style>
  <w:style w:styleId="Style_10_ch" w:type="character">
    <w:name w:val="heading 5"/>
    <w:basedOn w:val="Style_2_ch"/>
    <w:link w:val="Style_10"/>
    <w:rPr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pageBreakBefore w:val="0"/>
      <w:spacing w:after="120" w:before="480"/>
      <w:ind/>
      <w:outlineLvl w:val="0"/>
    </w:pPr>
    <w:rPr>
      <w:b w:val="1"/>
      <w:sz w:val="48"/>
    </w:rPr>
  </w:style>
  <w:style w:styleId="Style_11_ch" w:type="character">
    <w:name w:val="heading 1"/>
    <w:basedOn w:val="Style_2_ch"/>
    <w:link w:val="Style_11"/>
    <w:rPr>
      <w:b w:val="1"/>
      <w:sz w:val="4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basedOn w:val="Style_2"/>
    <w:next w:val="Style_2"/>
    <w:link w:val="Style_20_ch"/>
    <w:uiPriority w:val="11"/>
    <w:qFormat/>
    <w:pPr>
      <w:keepNext w:val="1"/>
      <w:keepLines w:val="1"/>
      <w:pageBreakBefore w:val="0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0_ch" w:type="character">
    <w:name w:val="Subtitle"/>
    <w:basedOn w:val="Style_2_ch"/>
    <w:link w:val="Style_20"/>
    <w:rPr>
      <w:rFonts w:ascii="Georgia" w:hAnsi="Georgia"/>
      <w:i w:val="1"/>
      <w:color w:val="666666"/>
      <w:sz w:val="48"/>
    </w:rPr>
  </w:style>
  <w:style w:styleId="Style_21" w:type="paragraph">
    <w:name w:val="Title"/>
    <w:basedOn w:val="Style_2"/>
    <w:next w:val="Style_2"/>
    <w:link w:val="Style_21_ch"/>
    <w:uiPriority w:val="10"/>
    <w:qFormat/>
    <w:pPr>
      <w:keepNext w:val="1"/>
      <w:keepLines w:val="1"/>
      <w:pageBreakBefore w:val="0"/>
      <w:spacing w:after="120" w:before="480"/>
      <w:ind/>
    </w:pPr>
    <w:rPr>
      <w:b w:val="1"/>
      <w:sz w:val="72"/>
    </w:rPr>
  </w:style>
  <w:style w:styleId="Style_21_ch" w:type="character">
    <w:name w:val="Title"/>
    <w:basedOn w:val="Style_2_ch"/>
    <w:link w:val="Style_21"/>
    <w:rPr>
      <w:b w:val="1"/>
      <w:sz w:val="72"/>
    </w:rPr>
  </w:style>
  <w:style w:styleId="Style_22" w:type="paragraph">
    <w:name w:val="heading 4"/>
    <w:basedOn w:val="Style_2"/>
    <w:next w:val="Style_2"/>
    <w:link w:val="Style_22_ch"/>
    <w:uiPriority w:val="9"/>
    <w:qFormat/>
    <w:pPr>
      <w:keepNext w:val="1"/>
      <w:keepLines w:val="1"/>
      <w:pageBreakBefore w:val="0"/>
      <w:spacing w:after="40" w:before="240"/>
      <w:ind/>
      <w:outlineLvl w:val="3"/>
    </w:pPr>
    <w:rPr>
      <w:b w:val="1"/>
      <w:sz w:val="24"/>
    </w:rPr>
  </w:style>
  <w:style w:styleId="Style_22_ch" w:type="character">
    <w:name w:val="heading 4"/>
    <w:basedOn w:val="Style_2_ch"/>
    <w:link w:val="Style_22"/>
    <w:rPr>
      <w:b w:val="1"/>
      <w:sz w:val="24"/>
    </w:rPr>
  </w:style>
  <w:style w:styleId="Style_23" w:type="paragraph">
    <w:name w:val="heading 2"/>
    <w:basedOn w:val="Style_2"/>
    <w:next w:val="Style_2"/>
    <w:link w:val="Style_23_ch"/>
    <w:uiPriority w:val="9"/>
    <w:qFormat/>
    <w:pPr>
      <w:keepNext w:val="1"/>
      <w:keepLines w:val="1"/>
      <w:pageBreakBefore w:val="0"/>
      <w:spacing w:after="80" w:before="360"/>
      <w:ind/>
      <w:outlineLvl w:val="1"/>
    </w:pPr>
    <w:rPr>
      <w:b w:val="1"/>
      <w:sz w:val="36"/>
    </w:rPr>
  </w:style>
  <w:style w:styleId="Style_23_ch" w:type="character">
    <w:name w:val="heading 2"/>
    <w:basedOn w:val="Style_2_ch"/>
    <w:link w:val="Style_23"/>
    <w:rPr>
      <w:b w:val="1"/>
      <w:sz w:val="36"/>
    </w:rPr>
  </w:style>
  <w:style w:styleId="Style_24" w:type="paragraph">
    <w:name w:val="heading 6"/>
    <w:basedOn w:val="Style_2"/>
    <w:next w:val="Style_2"/>
    <w:link w:val="Style_24_ch"/>
    <w:uiPriority w:val="9"/>
    <w:qFormat/>
    <w:pPr>
      <w:keepNext w:val="1"/>
      <w:keepLines w:val="1"/>
      <w:pageBreakBefore w:val="0"/>
      <w:spacing w:after="40" w:before="200"/>
      <w:ind/>
      <w:outlineLvl w:val="5"/>
    </w:pPr>
    <w:rPr>
      <w:b w:val="1"/>
      <w:sz w:val="20"/>
    </w:rPr>
  </w:style>
  <w:style w:styleId="Style_24_ch" w:type="character">
    <w:name w:val="heading 6"/>
    <w:basedOn w:val="Style_2_ch"/>
    <w:link w:val="Style_24"/>
    <w:rPr>
      <w:b w:val="1"/>
      <w:sz w:val="20"/>
    </w:rPr>
  </w:style>
  <w:style w:styleId="Style_1" w:type="table">
    <w:basedOn w:val="Style_25"/>
    <w:semiHidden w:val="1"/>
    <w:unhideWhenUsed w:val="1"/>
    <w:pPr>
      <w:spacing w:after="0" w:line="240" w:lineRule="auto"/>
      <w:ind/>
    </w:pPr>
    <w:rPr>
      <w:rFonts w:ascii="Arial" w:hAnsi="Arial"/>
      <w:sz w:val="16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5" w:type="table">
    <w:name w:val="Table Normal"/>
  </w:style>
  <w:style w:styleId="Style_3" w:type="table">
    <w:basedOn w:val="Style_25"/>
    <w:semiHidden w:val="1"/>
    <w:unhideWhenUsed w:val="1"/>
    <w:pPr>
      <w:spacing w:after="0" w:line="240" w:lineRule="auto"/>
      <w:ind/>
    </w:pPr>
    <w:rPr>
      <w:rFonts w:ascii="Arial" w:hAnsi="Arial"/>
      <w:sz w:val="16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6" w:type="table">
    <w:name w:val="TableStyle0"/>
    <w:pPr>
      <w:spacing w:after="0" w:line="240" w:lineRule="auto"/>
      <w:ind/>
    </w:pPr>
    <w:rPr>
      <w:rFonts w:ascii="Arial" w:hAnsi="Arial"/>
      <w:sz w:val="16"/>
    </w:r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2022-06-23T11:12:32Z</dcterms:modified>
</cp:coreProperties>
</file>