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0F1C" w14:textId="77777777" w:rsidR="00DE52E5" w:rsidRDefault="00DE52E5" w:rsidP="00DE52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5">
        <w:rPr>
          <w:rFonts w:ascii="Times New Roman" w:hAnsi="Times New Roman" w:cs="Times New Roman"/>
          <w:b/>
          <w:sz w:val="28"/>
          <w:szCs w:val="28"/>
        </w:rPr>
        <w:t>Перечень вопросов для подготовки к государственному экзамену по направлению подготовки</w:t>
      </w:r>
    </w:p>
    <w:p w14:paraId="13B40926" w14:textId="6DA3D113" w:rsidR="00CE4795" w:rsidRDefault="00DE52E5" w:rsidP="00DE52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5">
        <w:rPr>
          <w:rFonts w:ascii="Times New Roman" w:hAnsi="Times New Roman" w:cs="Times New Roman"/>
          <w:b/>
          <w:sz w:val="28"/>
          <w:szCs w:val="28"/>
        </w:rPr>
        <w:t xml:space="preserve"> «Финансы и кредит» магистерская программа «Финансы государственного сектора»</w:t>
      </w:r>
    </w:p>
    <w:p w14:paraId="4098AAE8" w14:textId="3BE15A6D" w:rsidR="00DE52E5" w:rsidRDefault="00DE52E5" w:rsidP="00DE52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DE15A" w14:textId="77777777" w:rsidR="00DE52E5" w:rsidRDefault="00DE52E5" w:rsidP="00DE52E5">
      <w:pPr>
        <w:pStyle w:val="2"/>
        <w:numPr>
          <w:ilvl w:val="4"/>
          <w:numId w:val="3"/>
        </w:numPr>
        <w:tabs>
          <w:tab w:val="left" w:pos="1515"/>
        </w:tabs>
        <w:spacing w:before="65" w:line="360" w:lineRule="auto"/>
        <w:ind w:right="257" w:firstLine="707"/>
        <w:jc w:val="both"/>
      </w:pPr>
      <w:r>
        <w:t>Перечень вопросов, выносимых на государственный экзамен. Перечень рекомендуемой литературы для подготовки к государственному экзамену</w:t>
      </w:r>
    </w:p>
    <w:p w14:paraId="459B2D03" w14:textId="77777777" w:rsidR="00DE52E5" w:rsidRDefault="00DE52E5" w:rsidP="00DE52E5">
      <w:pPr>
        <w:pStyle w:val="a3"/>
        <w:spacing w:before="3"/>
        <w:ind w:left="0"/>
        <w:jc w:val="left"/>
        <w:rPr>
          <w:b/>
          <w:sz w:val="24"/>
        </w:rPr>
      </w:pPr>
    </w:p>
    <w:p w14:paraId="6D1A948B" w14:textId="77777777" w:rsidR="00DE52E5" w:rsidRDefault="00DE52E5" w:rsidP="00DE52E5">
      <w:pPr>
        <w:pStyle w:val="a5"/>
        <w:numPr>
          <w:ilvl w:val="1"/>
          <w:numId w:val="2"/>
        </w:numPr>
        <w:tabs>
          <w:tab w:val="left" w:pos="1185"/>
          <w:tab w:val="left" w:pos="1186"/>
          <w:tab w:val="left" w:pos="2677"/>
          <w:tab w:val="left" w:pos="3343"/>
          <w:tab w:val="left" w:pos="4550"/>
          <w:tab w:val="left" w:pos="6420"/>
          <w:tab w:val="left" w:pos="9879"/>
        </w:tabs>
        <w:ind w:right="262" w:hanging="12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основе</w:t>
      </w:r>
      <w:r>
        <w:rPr>
          <w:b/>
          <w:sz w:val="28"/>
        </w:rPr>
        <w:tab/>
        <w:t>содержания</w:t>
      </w:r>
      <w:r>
        <w:rPr>
          <w:b/>
          <w:sz w:val="28"/>
        </w:rPr>
        <w:tab/>
        <w:t>общепрофессиональных</w:t>
      </w:r>
      <w:r>
        <w:rPr>
          <w:b/>
          <w:sz w:val="28"/>
        </w:rPr>
        <w:tab/>
      </w:r>
      <w:r>
        <w:rPr>
          <w:b/>
          <w:spacing w:val="-17"/>
          <w:sz w:val="28"/>
        </w:rPr>
        <w:t xml:space="preserve">и </w:t>
      </w:r>
      <w:r>
        <w:rPr>
          <w:b/>
          <w:sz w:val="28"/>
        </w:rPr>
        <w:t>профессиональных дисциплин направления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2FC18B23" w14:textId="77777777" w:rsidR="00DE52E5" w:rsidRDefault="00DE52E5" w:rsidP="00DE52E5">
      <w:pPr>
        <w:pStyle w:val="a3"/>
        <w:spacing w:before="4"/>
        <w:ind w:left="0"/>
        <w:jc w:val="left"/>
        <w:rPr>
          <w:b/>
          <w:sz w:val="24"/>
        </w:rPr>
      </w:pPr>
    </w:p>
    <w:p w14:paraId="2F039442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6" w:firstLine="707"/>
        <w:jc w:val="both"/>
        <w:rPr>
          <w:sz w:val="28"/>
        </w:rPr>
      </w:pPr>
      <w:r>
        <w:rPr>
          <w:sz w:val="28"/>
        </w:rPr>
        <w:t>Современные теории финансов: предметная область исследования сущности и 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финансов.</w:t>
      </w:r>
    </w:p>
    <w:p w14:paraId="375B79F3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before="2" w:line="360" w:lineRule="auto"/>
        <w:ind w:right="267" w:firstLine="707"/>
        <w:jc w:val="both"/>
        <w:rPr>
          <w:sz w:val="28"/>
        </w:rPr>
      </w:pPr>
      <w:r>
        <w:rPr>
          <w:sz w:val="28"/>
        </w:rPr>
        <w:t>Макроэкономические условия развития финансовой системы Российской Федерации, ее сфер и</w:t>
      </w:r>
      <w:r>
        <w:rPr>
          <w:spacing w:val="-2"/>
          <w:sz w:val="28"/>
        </w:rPr>
        <w:t xml:space="preserve"> </w:t>
      </w:r>
      <w:r>
        <w:rPr>
          <w:sz w:val="28"/>
        </w:rPr>
        <w:t>звеньев.</w:t>
      </w:r>
    </w:p>
    <w:p w14:paraId="4B622E2D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5" w:firstLine="707"/>
        <w:jc w:val="both"/>
        <w:rPr>
          <w:sz w:val="28"/>
        </w:rPr>
      </w:pPr>
      <w:r>
        <w:rPr>
          <w:sz w:val="28"/>
        </w:rPr>
        <w:t>Взаимосвязь финансового рынка и финансовой системы: основные направления развития в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глобализации.</w:t>
      </w:r>
    </w:p>
    <w:p w14:paraId="10925874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4" w:firstLine="707"/>
        <w:jc w:val="both"/>
        <w:rPr>
          <w:sz w:val="28"/>
        </w:rPr>
      </w:pPr>
      <w:r>
        <w:rPr>
          <w:sz w:val="28"/>
        </w:rPr>
        <w:t>Современные модели государственного регулирования и саморегулирования финансового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рынка.</w:t>
      </w:r>
    </w:p>
    <w:p w14:paraId="59582764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3" w:firstLine="707"/>
        <w:jc w:val="both"/>
        <w:rPr>
          <w:sz w:val="28"/>
        </w:rPr>
      </w:pPr>
      <w:r>
        <w:rPr>
          <w:sz w:val="28"/>
        </w:rPr>
        <w:t>Современные проблемы реализации принципов построения бюджетной системы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14:paraId="25EC0B96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before="1" w:line="360" w:lineRule="auto"/>
        <w:ind w:right="267" w:firstLine="707"/>
        <w:jc w:val="both"/>
        <w:rPr>
          <w:sz w:val="28"/>
        </w:rPr>
      </w:pPr>
      <w:r>
        <w:rPr>
          <w:sz w:val="28"/>
        </w:rPr>
        <w:t>Характеристика, проблемы и тенденции развития российского финансового рынка.</w:t>
      </w:r>
    </w:p>
    <w:p w14:paraId="6B852E50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5" w:firstLine="707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рынков</w:t>
      </w:r>
      <w:r>
        <w:rPr>
          <w:spacing w:val="-13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бумаг,</w:t>
      </w:r>
      <w:r>
        <w:rPr>
          <w:spacing w:val="-13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рынка 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бумаг.</w:t>
      </w:r>
    </w:p>
    <w:p w14:paraId="6F4EB56F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4" w:firstLine="707"/>
        <w:jc w:val="both"/>
        <w:rPr>
          <w:sz w:val="28"/>
        </w:rPr>
      </w:pPr>
      <w:r>
        <w:rPr>
          <w:sz w:val="28"/>
        </w:rPr>
        <w:t>Ценные бумаги и их классификация: акция как ценная бумага в российском законодательстве, проблемная характеристика российского рынка акций.</w:t>
      </w:r>
    </w:p>
    <w:p w14:paraId="399365A0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line="360" w:lineRule="auto"/>
        <w:ind w:right="266" w:firstLine="707"/>
        <w:jc w:val="both"/>
        <w:rPr>
          <w:sz w:val="28"/>
        </w:rPr>
      </w:pPr>
      <w:r>
        <w:rPr>
          <w:sz w:val="28"/>
        </w:rPr>
        <w:t xml:space="preserve">Профессиональные участники рынка ценных бумаг. Понятие инвестиционного банка. Коммерческие банки на рынке ценных бумаг: финансовые инструменты, структура операций, аналитическая характеристика </w:t>
      </w:r>
      <w:r>
        <w:rPr>
          <w:sz w:val="28"/>
        </w:rPr>
        <w:lastRenderedPageBreak/>
        <w:t>участия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рынке.</w:t>
      </w:r>
    </w:p>
    <w:p w14:paraId="4F77D1AE" w14:textId="77777777" w:rsidR="00DE52E5" w:rsidRDefault="00DE52E5" w:rsidP="00DE52E5">
      <w:pPr>
        <w:pStyle w:val="a5"/>
        <w:numPr>
          <w:ilvl w:val="2"/>
          <w:numId w:val="2"/>
        </w:numPr>
        <w:tabs>
          <w:tab w:val="left" w:pos="1815"/>
        </w:tabs>
        <w:spacing w:before="65" w:after="12" w:line="360" w:lineRule="auto"/>
        <w:ind w:right="268" w:firstLine="707"/>
        <w:jc w:val="both"/>
        <w:rPr>
          <w:sz w:val="28"/>
        </w:rPr>
      </w:pPr>
      <w:r>
        <w:rPr>
          <w:sz w:val="28"/>
        </w:rPr>
        <w:t>Современные научные школы о необходимости, роли и границах государственного финансового регулирования. Фискальные мультипликаторы расходов бюджета и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налогов.</w:t>
      </w: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4239"/>
        <w:gridCol w:w="2180"/>
        <w:gridCol w:w="3324"/>
      </w:tblGrid>
      <w:tr w:rsidR="00DE52E5" w14:paraId="13E3B7AA" w14:textId="77777777" w:rsidTr="00F27467">
        <w:trPr>
          <w:trHeight w:val="396"/>
        </w:trPr>
        <w:tc>
          <w:tcPr>
            <w:tcW w:w="4239" w:type="dxa"/>
          </w:tcPr>
          <w:p w14:paraId="42B3D4CE" w14:textId="77777777" w:rsidR="00DE52E5" w:rsidRDefault="00DE52E5" w:rsidP="00F27467">
            <w:pPr>
              <w:pStyle w:val="TableParagraph"/>
              <w:tabs>
                <w:tab w:val="left" w:pos="1465"/>
                <w:tab w:val="left" w:pos="3081"/>
              </w:tabs>
              <w:spacing w:line="311" w:lineRule="exact"/>
              <w:ind w:left="757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Критерии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выбора</w:t>
            </w:r>
            <w:proofErr w:type="spellEnd"/>
          </w:p>
        </w:tc>
        <w:tc>
          <w:tcPr>
            <w:tcW w:w="2180" w:type="dxa"/>
          </w:tcPr>
          <w:p w14:paraId="07F7BF73" w14:textId="77777777" w:rsidR="00DE52E5" w:rsidRDefault="00DE52E5" w:rsidP="00F27467">
            <w:pPr>
              <w:pStyle w:val="TableParagraph"/>
              <w:tabs>
                <w:tab w:val="left" w:pos="1729"/>
              </w:tabs>
              <w:spacing w:line="311" w:lineRule="exact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налоговых</w:t>
            </w:r>
            <w:proofErr w:type="spellEnd"/>
            <w:r>
              <w:rPr>
                <w:sz w:val="28"/>
              </w:rPr>
              <w:tab/>
              <w:t>и</w:t>
            </w:r>
          </w:p>
        </w:tc>
        <w:tc>
          <w:tcPr>
            <w:tcW w:w="3324" w:type="dxa"/>
          </w:tcPr>
          <w:p w14:paraId="467865BC" w14:textId="77777777" w:rsidR="00DE52E5" w:rsidRDefault="00DE52E5" w:rsidP="00F27467">
            <w:pPr>
              <w:pStyle w:val="TableParagraph"/>
              <w:tabs>
                <w:tab w:val="left" w:pos="1992"/>
              </w:tabs>
              <w:spacing w:line="311" w:lineRule="exact"/>
              <w:ind w:left="0" w:right="4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неналоговых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методов</w:t>
            </w:r>
            <w:proofErr w:type="spellEnd"/>
          </w:p>
        </w:tc>
      </w:tr>
      <w:tr w:rsidR="00DE52E5" w14:paraId="6831CADA" w14:textId="77777777" w:rsidTr="00F27467">
        <w:trPr>
          <w:trHeight w:val="482"/>
        </w:trPr>
        <w:tc>
          <w:tcPr>
            <w:tcW w:w="4239" w:type="dxa"/>
          </w:tcPr>
          <w:p w14:paraId="2209AA7C" w14:textId="77777777" w:rsidR="00DE52E5" w:rsidRDefault="00DE52E5" w:rsidP="00F27467">
            <w:pPr>
              <w:pStyle w:val="TableParagraph"/>
              <w:tabs>
                <w:tab w:val="left" w:pos="2532"/>
              </w:tabs>
              <w:spacing w:before="74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государственного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финансового</w:t>
            </w:r>
            <w:proofErr w:type="spellEnd"/>
          </w:p>
        </w:tc>
        <w:tc>
          <w:tcPr>
            <w:tcW w:w="2180" w:type="dxa"/>
          </w:tcPr>
          <w:p w14:paraId="67DE1396" w14:textId="77777777" w:rsidR="00DE52E5" w:rsidRDefault="00DE52E5" w:rsidP="00F27467">
            <w:pPr>
              <w:pStyle w:val="TableParagraph"/>
              <w:spacing w:before="74"/>
              <w:ind w:left="10" w:right="1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регулирования</w:t>
            </w:r>
            <w:proofErr w:type="spellEnd"/>
          </w:p>
        </w:tc>
        <w:tc>
          <w:tcPr>
            <w:tcW w:w="3324" w:type="dxa"/>
          </w:tcPr>
          <w:p w14:paraId="4DA258B4" w14:textId="77777777" w:rsidR="00DE52E5" w:rsidRDefault="00DE52E5" w:rsidP="00F27467">
            <w:pPr>
              <w:pStyle w:val="TableParagraph"/>
              <w:tabs>
                <w:tab w:val="left" w:pos="798"/>
                <w:tab w:val="left" w:pos="1448"/>
              </w:tabs>
              <w:spacing w:before="74"/>
              <w:ind w:left="0" w:right="5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комплексного</w:t>
            </w:r>
            <w:proofErr w:type="spellEnd"/>
          </w:p>
        </w:tc>
      </w:tr>
      <w:tr w:rsidR="00DE52E5" w14:paraId="257BC206" w14:textId="77777777" w:rsidTr="00F27467">
        <w:trPr>
          <w:trHeight w:val="396"/>
        </w:trPr>
        <w:tc>
          <w:tcPr>
            <w:tcW w:w="4239" w:type="dxa"/>
          </w:tcPr>
          <w:p w14:paraId="594008C0" w14:textId="77777777" w:rsidR="00DE52E5" w:rsidRDefault="00DE52E5" w:rsidP="00F27467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использования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80" w:type="dxa"/>
          </w:tcPr>
          <w:p w14:paraId="089C9BC0" w14:textId="77777777" w:rsidR="00DE52E5" w:rsidRDefault="00DE52E5" w:rsidP="00F274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24" w:type="dxa"/>
          </w:tcPr>
          <w:p w14:paraId="7B0FBABC" w14:textId="77777777" w:rsidR="00DE52E5" w:rsidRDefault="00DE52E5" w:rsidP="00F27467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7CF203F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before="160" w:line="362" w:lineRule="auto"/>
        <w:ind w:right="268" w:firstLine="707"/>
        <w:jc w:val="both"/>
        <w:rPr>
          <w:sz w:val="28"/>
        </w:rPr>
      </w:pPr>
      <w:r>
        <w:rPr>
          <w:sz w:val="28"/>
        </w:rPr>
        <w:t>Государственное финансовое регулирование в инвестиционной сфере.</w:t>
      </w:r>
    </w:p>
    <w:p w14:paraId="0014CFFB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17" w:lineRule="exact"/>
        <w:ind w:left="1814" w:hanging="709"/>
        <w:jc w:val="both"/>
        <w:rPr>
          <w:sz w:val="28"/>
        </w:rPr>
      </w:pPr>
      <w:r>
        <w:rPr>
          <w:sz w:val="28"/>
        </w:rPr>
        <w:t>Финансовое стимулирование инновационной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14:paraId="397B816A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before="160" w:line="360" w:lineRule="auto"/>
        <w:ind w:right="260" w:firstLine="707"/>
        <w:jc w:val="both"/>
        <w:rPr>
          <w:sz w:val="28"/>
        </w:rPr>
      </w:pPr>
      <w:r>
        <w:rPr>
          <w:sz w:val="28"/>
        </w:rPr>
        <w:t>Понятие современных методов и инструментов</w:t>
      </w:r>
      <w:r>
        <w:rPr>
          <w:spacing w:val="-32"/>
          <w:sz w:val="28"/>
        </w:rPr>
        <w:t xml:space="preserve"> </w:t>
      </w:r>
      <w:r>
        <w:rPr>
          <w:sz w:val="28"/>
        </w:rPr>
        <w:t>денежно-кредитного регулирования, их классификация.</w:t>
      </w:r>
    </w:p>
    <w:p w14:paraId="52207FF2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58" w:firstLine="707"/>
        <w:jc w:val="both"/>
        <w:rPr>
          <w:sz w:val="28"/>
        </w:rPr>
      </w:pPr>
      <w:proofErr w:type="spellStart"/>
      <w:r>
        <w:rPr>
          <w:sz w:val="28"/>
        </w:rPr>
        <w:t>Cтратегия</w:t>
      </w:r>
      <w:proofErr w:type="spellEnd"/>
      <w:r>
        <w:rPr>
          <w:sz w:val="28"/>
        </w:rPr>
        <w:t xml:space="preserve"> и тактика использования инструментов денежно- кредитного регулирования: активное целенаправленное воздействие Банка России на кредитно-финансовую сферу посредством использования количественных или качественных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показателей.</w:t>
      </w:r>
    </w:p>
    <w:p w14:paraId="43D9567B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2" w:lineRule="auto"/>
        <w:ind w:right="267" w:firstLine="707"/>
        <w:jc w:val="both"/>
        <w:rPr>
          <w:sz w:val="28"/>
        </w:rPr>
      </w:pPr>
      <w:r>
        <w:rPr>
          <w:sz w:val="28"/>
        </w:rPr>
        <w:t>Роль центрального банка в стратегическом развитии банковской системы.</w:t>
      </w:r>
    </w:p>
    <w:p w14:paraId="03D79849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6" w:firstLine="707"/>
        <w:jc w:val="both"/>
        <w:rPr>
          <w:sz w:val="28"/>
        </w:rPr>
      </w:pPr>
      <w:r>
        <w:rPr>
          <w:sz w:val="28"/>
        </w:rPr>
        <w:t>Кредитная экспансия и границы использования кредита в 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экономике.</w:t>
      </w:r>
    </w:p>
    <w:p w14:paraId="00F9D5B5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4" w:firstLine="707"/>
        <w:jc w:val="both"/>
        <w:rPr>
          <w:sz w:val="28"/>
        </w:rPr>
      </w:pPr>
      <w:r>
        <w:rPr>
          <w:sz w:val="28"/>
        </w:rPr>
        <w:t>Модернизация направлений деятельности коммерческих банков в условиях макроэкономической нестабильности. Внедрение международных стандартов банковской деятельности и соответствие им деятельности российских банков.</w:t>
      </w:r>
    </w:p>
    <w:p w14:paraId="0B88222D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2" w:firstLine="707"/>
        <w:jc w:val="both"/>
        <w:rPr>
          <w:sz w:val="28"/>
        </w:rPr>
      </w:pPr>
      <w:r>
        <w:rPr>
          <w:sz w:val="28"/>
        </w:rPr>
        <w:t>Концептуальные основы финансового анализа и его роль в управлении деятельностью коммерческой организации. Объекты финансового анализа и сферы применения его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результатов.</w:t>
      </w:r>
    </w:p>
    <w:p w14:paraId="0093CC47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7" w:firstLine="707"/>
        <w:jc w:val="both"/>
        <w:rPr>
          <w:sz w:val="28"/>
        </w:rPr>
      </w:pPr>
      <w:r>
        <w:rPr>
          <w:sz w:val="28"/>
        </w:rPr>
        <w:t>Аналитический инструментарий финансового анализа и принципы формирования системы ключевых 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показателей.</w:t>
      </w:r>
    </w:p>
    <w:p w14:paraId="41107A0D" w14:textId="77777777" w:rsidR="00DE52E5" w:rsidRDefault="00DE52E5" w:rsidP="00DE52E5">
      <w:pPr>
        <w:spacing w:line="360" w:lineRule="auto"/>
        <w:jc w:val="both"/>
        <w:rPr>
          <w:sz w:val="28"/>
        </w:rPr>
        <w:sectPr w:rsidR="00DE52E5">
          <w:pgSz w:w="11910" w:h="16840"/>
          <w:pgMar w:top="1340" w:right="580" w:bottom="1140" w:left="1020" w:header="0" w:footer="954" w:gutter="0"/>
          <w:cols w:space="720"/>
        </w:sectPr>
      </w:pPr>
    </w:p>
    <w:p w14:paraId="30271409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before="65" w:line="360" w:lineRule="auto"/>
        <w:ind w:right="269" w:firstLine="707"/>
        <w:jc w:val="both"/>
        <w:rPr>
          <w:sz w:val="28"/>
        </w:rPr>
      </w:pPr>
      <w:r>
        <w:rPr>
          <w:sz w:val="28"/>
        </w:rPr>
        <w:lastRenderedPageBreak/>
        <w:t>Методы анализа уровня инвестиционных рисков и способы их снижения.</w:t>
      </w:r>
    </w:p>
    <w:p w14:paraId="663879A7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2" w:lineRule="auto"/>
        <w:ind w:right="264" w:firstLine="707"/>
        <w:jc w:val="both"/>
        <w:rPr>
          <w:sz w:val="28"/>
        </w:rPr>
      </w:pPr>
      <w:r>
        <w:rPr>
          <w:sz w:val="28"/>
        </w:rPr>
        <w:t>Тренды и факторы формирования и эффективности использования активов и капитала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компании.</w:t>
      </w:r>
    </w:p>
    <w:p w14:paraId="1F9FFA73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6" w:firstLine="707"/>
        <w:jc w:val="both"/>
        <w:rPr>
          <w:sz w:val="28"/>
        </w:rPr>
      </w:pPr>
      <w:r>
        <w:rPr>
          <w:sz w:val="28"/>
        </w:rPr>
        <w:t>Методы оценки стоимости финансирования: собственного капитала и долговых источников средств. Сравнительный анализ их преимуществ и ограничений.</w:t>
      </w:r>
    </w:p>
    <w:p w14:paraId="5757CE24" w14:textId="77777777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0" w:firstLine="707"/>
        <w:jc w:val="both"/>
        <w:rPr>
          <w:sz w:val="28"/>
        </w:rPr>
      </w:pPr>
      <w:r>
        <w:rPr>
          <w:sz w:val="28"/>
        </w:rPr>
        <w:t>Способы обоснования потребности организаций во внешнем финансировании, оценка риск-факторов 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заимствований.</w:t>
      </w:r>
    </w:p>
    <w:p w14:paraId="5E8C160A" w14:textId="3062B8B5" w:rsidR="00DE52E5" w:rsidRDefault="00DE52E5" w:rsidP="00DE52E5">
      <w:pPr>
        <w:pStyle w:val="a5"/>
        <w:numPr>
          <w:ilvl w:val="0"/>
          <w:numId w:val="1"/>
        </w:numPr>
        <w:tabs>
          <w:tab w:val="left" w:pos="1815"/>
        </w:tabs>
        <w:spacing w:line="360" w:lineRule="auto"/>
        <w:ind w:right="266" w:firstLine="707"/>
        <w:jc w:val="both"/>
        <w:rPr>
          <w:sz w:val="28"/>
        </w:rPr>
      </w:pPr>
      <w:r>
        <w:rPr>
          <w:sz w:val="28"/>
        </w:rPr>
        <w:t>Эффективные и номинальные процентные ставки, современные тенденции 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заимствований.</w:t>
      </w:r>
    </w:p>
    <w:p w14:paraId="5654B678" w14:textId="260098CD" w:rsidR="00DE52E5" w:rsidRDefault="00DE52E5" w:rsidP="00DE52E5">
      <w:pPr>
        <w:pStyle w:val="a5"/>
        <w:tabs>
          <w:tab w:val="left" w:pos="1815"/>
        </w:tabs>
        <w:spacing w:line="360" w:lineRule="auto"/>
        <w:ind w:left="1105" w:right="266" w:firstLine="0"/>
        <w:jc w:val="left"/>
        <w:rPr>
          <w:sz w:val="28"/>
        </w:rPr>
      </w:pPr>
    </w:p>
    <w:p w14:paraId="56E8A70E" w14:textId="77777777" w:rsidR="00DE52E5" w:rsidRDefault="00DE52E5" w:rsidP="00DE52E5">
      <w:pPr>
        <w:pStyle w:val="2"/>
        <w:numPr>
          <w:ilvl w:val="1"/>
          <w:numId w:val="5"/>
        </w:numPr>
        <w:tabs>
          <w:tab w:val="left" w:pos="834"/>
        </w:tabs>
        <w:spacing w:line="360" w:lineRule="auto"/>
        <w:ind w:left="398" w:right="257" w:firstLine="0"/>
        <w:jc w:val="both"/>
      </w:pPr>
      <w:r>
        <w:t>Вопросы на основе содержания дисциплин направленности программы магистратуры «Финансы государственного</w:t>
      </w:r>
      <w:r>
        <w:rPr>
          <w:spacing w:val="-7"/>
        </w:rPr>
        <w:t xml:space="preserve"> </w:t>
      </w:r>
      <w:r>
        <w:t>сектора»</w:t>
      </w:r>
    </w:p>
    <w:p w14:paraId="365DB71A" w14:textId="77777777" w:rsidR="00DE52E5" w:rsidRDefault="00DE52E5" w:rsidP="00DE52E5">
      <w:pPr>
        <w:pStyle w:val="a3"/>
        <w:spacing w:before="4"/>
        <w:ind w:left="0"/>
        <w:jc w:val="left"/>
        <w:rPr>
          <w:b/>
          <w:sz w:val="24"/>
        </w:rPr>
      </w:pPr>
    </w:p>
    <w:p w14:paraId="44463351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612"/>
        </w:tabs>
        <w:spacing w:line="386" w:lineRule="auto"/>
        <w:ind w:right="327" w:hanging="1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2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9"/>
          <w:sz w:val="28"/>
        </w:rPr>
        <w:t xml:space="preserve"> </w:t>
      </w:r>
      <w:r>
        <w:rPr>
          <w:sz w:val="28"/>
        </w:rPr>
        <w:t>услуг. Финансовое обеспечение государственных и муниципальных услуг: содержание, принципы, особенности организации в условиях</w:t>
      </w:r>
      <w:r>
        <w:rPr>
          <w:spacing w:val="21"/>
          <w:sz w:val="28"/>
        </w:rPr>
        <w:t xml:space="preserve"> </w:t>
      </w:r>
      <w:r>
        <w:rPr>
          <w:sz w:val="28"/>
        </w:rPr>
        <w:t>концепции</w:t>
      </w:r>
    </w:p>
    <w:p w14:paraId="542B8038" w14:textId="77777777" w:rsidR="00DE52E5" w:rsidRDefault="00DE52E5" w:rsidP="00DE52E5">
      <w:pPr>
        <w:pStyle w:val="a3"/>
        <w:spacing w:line="320" w:lineRule="exact"/>
        <w:ind w:left="408"/>
      </w:pPr>
      <w:r>
        <w:t>«Электронный бюджет».</w:t>
      </w:r>
    </w:p>
    <w:p w14:paraId="23E2BD5C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47"/>
        </w:tabs>
        <w:spacing w:before="211" w:line="386" w:lineRule="auto"/>
        <w:ind w:right="329" w:hanging="10"/>
        <w:jc w:val="both"/>
        <w:rPr>
          <w:sz w:val="28"/>
        </w:rPr>
      </w:pPr>
      <w:r>
        <w:rPr>
          <w:sz w:val="28"/>
        </w:rPr>
        <w:t>Государственные и муниципальные задания по предоставлению государственных (муниципальных) услуг бюджетными и автономными учреждениями, финансовое обеспечение их выполнения. Особенности организации исполнения федерального бюджета по расходам, связанным с финансированием бюджетных и автономных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учреждений.</w:t>
      </w:r>
    </w:p>
    <w:p w14:paraId="4C87442B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703"/>
        </w:tabs>
        <w:spacing w:before="13" w:line="386" w:lineRule="auto"/>
        <w:ind w:right="332" w:hanging="10"/>
        <w:jc w:val="both"/>
        <w:rPr>
          <w:sz w:val="28"/>
        </w:rPr>
      </w:pPr>
      <w:r>
        <w:rPr>
          <w:sz w:val="28"/>
        </w:rPr>
        <w:t>Актуальные направления совершенствования государственного управления. Внедрение программно-проектного подхода.</w:t>
      </w:r>
    </w:p>
    <w:p w14:paraId="7C4F05FA" w14:textId="77777777" w:rsidR="00DE52E5" w:rsidRDefault="00DE52E5" w:rsidP="00DE52E5">
      <w:pPr>
        <w:spacing w:line="386" w:lineRule="auto"/>
        <w:jc w:val="both"/>
        <w:rPr>
          <w:sz w:val="28"/>
        </w:rPr>
        <w:sectPr w:rsidR="00DE52E5">
          <w:pgSz w:w="11910" w:h="16840"/>
          <w:pgMar w:top="1340" w:right="580" w:bottom="1140" w:left="1020" w:header="0" w:footer="954" w:gutter="0"/>
          <w:cols w:space="720"/>
        </w:sectPr>
      </w:pPr>
    </w:p>
    <w:p w14:paraId="7EA53849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759"/>
        </w:tabs>
        <w:spacing w:before="65" w:line="386" w:lineRule="auto"/>
        <w:ind w:right="330" w:hanging="10"/>
        <w:jc w:val="both"/>
        <w:rPr>
          <w:sz w:val="28"/>
        </w:rPr>
      </w:pPr>
      <w:r>
        <w:rPr>
          <w:sz w:val="28"/>
        </w:rPr>
        <w:lastRenderedPageBreak/>
        <w:t>Исполнение бюджетов по расходам: принципы, полномочия участников, содержание основных процедур. Концепция риск-ориентированного санкционирования.</w:t>
      </w:r>
    </w:p>
    <w:p w14:paraId="236D3B16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738"/>
        </w:tabs>
        <w:spacing w:before="12" w:line="386" w:lineRule="auto"/>
        <w:ind w:right="329" w:hanging="10"/>
        <w:jc w:val="both"/>
        <w:rPr>
          <w:sz w:val="28"/>
        </w:rPr>
      </w:pPr>
      <w:r>
        <w:rPr>
          <w:sz w:val="28"/>
        </w:rPr>
        <w:t>Казначейское сопровождение и бюджетный мониторинг как инструменты повышения эффективности расходов федерального бюджета, региональных бюджетов, новации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законодательства.</w:t>
      </w:r>
    </w:p>
    <w:p w14:paraId="30808A7E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762"/>
        </w:tabs>
        <w:spacing w:before="15" w:line="386" w:lineRule="auto"/>
        <w:ind w:right="327" w:hanging="10"/>
        <w:jc w:val="both"/>
        <w:rPr>
          <w:sz w:val="28"/>
        </w:rPr>
      </w:pPr>
      <w:r>
        <w:rPr>
          <w:sz w:val="28"/>
        </w:rPr>
        <w:t>Разграничение и распределение доходов между бюджетами: критерии и методы разграничения на основе российского и зарубежного опыта. Особенности организации исполнения бюджетов по доходам в Российской Федерации, их учета в условиях введения казначейского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обслуживания.</w:t>
      </w:r>
    </w:p>
    <w:p w14:paraId="4E4DD2E6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786"/>
        </w:tabs>
        <w:spacing w:before="12" w:line="386" w:lineRule="auto"/>
        <w:ind w:right="338" w:hanging="10"/>
        <w:jc w:val="both"/>
        <w:rPr>
          <w:sz w:val="28"/>
        </w:rPr>
      </w:pPr>
      <w:r>
        <w:rPr>
          <w:sz w:val="28"/>
        </w:rPr>
        <w:t>Проблемы дебиторской и кредиторской задолженности администратора бюджетных средств, меры</w:t>
      </w:r>
      <w:r>
        <w:rPr>
          <w:spacing w:val="-3"/>
          <w:sz w:val="28"/>
        </w:rPr>
        <w:t xml:space="preserve"> </w:t>
      </w:r>
      <w:r>
        <w:rPr>
          <w:sz w:val="28"/>
        </w:rPr>
        <w:t>реагирования.</w:t>
      </w:r>
    </w:p>
    <w:p w14:paraId="1AA09434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44"/>
        </w:tabs>
        <w:spacing w:before="15" w:line="386" w:lineRule="auto"/>
        <w:ind w:right="337" w:hanging="10"/>
        <w:jc w:val="both"/>
        <w:rPr>
          <w:sz w:val="28"/>
        </w:rPr>
      </w:pPr>
      <w:r>
        <w:rPr>
          <w:sz w:val="28"/>
        </w:rPr>
        <w:t>Теоретические основы и содержание финансового менеджмента администраторов бюджетных средств, оценка его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качества.</w:t>
      </w:r>
    </w:p>
    <w:p w14:paraId="1D624FC8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02"/>
        </w:tabs>
        <w:spacing w:before="15" w:line="386" w:lineRule="auto"/>
        <w:ind w:right="328" w:hanging="10"/>
        <w:jc w:val="both"/>
        <w:rPr>
          <w:sz w:val="28"/>
        </w:rPr>
      </w:pPr>
      <w:r>
        <w:rPr>
          <w:sz w:val="28"/>
        </w:rPr>
        <w:t>Открытость бюджетного процесса: значение и основные инструменты достижения. Рейтинг открытости бюджетного процесса. Понятие инициативного бюджета: российский и зарубежный</w:t>
      </w:r>
      <w:r>
        <w:rPr>
          <w:spacing w:val="-9"/>
          <w:sz w:val="28"/>
        </w:rPr>
        <w:t xml:space="preserve"> </w:t>
      </w:r>
      <w:r>
        <w:rPr>
          <w:sz w:val="28"/>
        </w:rPr>
        <w:t>опыт.</w:t>
      </w:r>
    </w:p>
    <w:p w14:paraId="5F9B6AAB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12"/>
        </w:tabs>
        <w:spacing w:before="12" w:line="386" w:lineRule="auto"/>
        <w:ind w:right="327" w:hanging="10"/>
        <w:jc w:val="both"/>
        <w:rPr>
          <w:sz w:val="28"/>
        </w:rPr>
      </w:pPr>
      <w:r>
        <w:rPr>
          <w:sz w:val="28"/>
        </w:rPr>
        <w:t>Эволюция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1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кассы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4"/>
          <w:sz w:val="28"/>
        </w:rPr>
        <w:t xml:space="preserve"> </w:t>
      </w:r>
      <w:r>
        <w:rPr>
          <w:sz w:val="28"/>
        </w:rPr>
        <w:t>секторе, его связь с развитием системы казначейских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платежей.</w:t>
      </w:r>
    </w:p>
    <w:p w14:paraId="6858191B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96"/>
        </w:tabs>
        <w:spacing w:before="15" w:line="386" w:lineRule="auto"/>
        <w:ind w:right="329" w:hanging="10"/>
        <w:jc w:val="both"/>
        <w:rPr>
          <w:sz w:val="28"/>
        </w:rPr>
      </w:pPr>
      <w:r>
        <w:rPr>
          <w:sz w:val="28"/>
        </w:rPr>
        <w:t>Управление остатками средств на счетах бюджетов публично-правовых образований: основные инструменты, особенности российской и зарубежной практики.</w:t>
      </w:r>
    </w:p>
    <w:p w14:paraId="16C80BBC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27"/>
        </w:tabs>
        <w:spacing w:before="14" w:line="386" w:lineRule="auto"/>
        <w:ind w:right="335" w:hanging="10"/>
        <w:jc w:val="both"/>
        <w:rPr>
          <w:sz w:val="28"/>
        </w:rPr>
      </w:pPr>
      <w:r>
        <w:rPr>
          <w:sz w:val="28"/>
        </w:rPr>
        <w:t>Состав бюджетной отчетности, принципы ее формирования. Внешняя проверка бюджетной отчетности, 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утверждения.</w:t>
      </w:r>
    </w:p>
    <w:p w14:paraId="1376E67E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97"/>
        </w:tabs>
        <w:spacing w:before="15" w:line="384" w:lineRule="auto"/>
        <w:ind w:right="330" w:hanging="10"/>
        <w:jc w:val="both"/>
        <w:rPr>
          <w:sz w:val="28"/>
        </w:rPr>
      </w:pPr>
      <w:r>
        <w:rPr>
          <w:sz w:val="28"/>
        </w:rPr>
        <w:t>Реформирование бюджетного устройства в Российской Федерации, современный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14:paraId="53753648" w14:textId="77777777" w:rsidR="00DE52E5" w:rsidRDefault="00DE52E5" w:rsidP="00DE52E5">
      <w:pPr>
        <w:spacing w:line="384" w:lineRule="auto"/>
        <w:jc w:val="both"/>
        <w:rPr>
          <w:sz w:val="28"/>
        </w:rPr>
        <w:sectPr w:rsidR="00DE52E5">
          <w:pgSz w:w="11910" w:h="16840"/>
          <w:pgMar w:top="1340" w:right="580" w:bottom="1140" w:left="1020" w:header="0" w:footer="954" w:gutter="0"/>
          <w:cols w:space="720"/>
        </w:sectPr>
      </w:pPr>
    </w:p>
    <w:p w14:paraId="52B03F12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19"/>
        </w:tabs>
        <w:spacing w:before="65" w:line="386" w:lineRule="auto"/>
        <w:ind w:right="335" w:hanging="10"/>
        <w:jc w:val="both"/>
        <w:rPr>
          <w:sz w:val="28"/>
        </w:rPr>
      </w:pPr>
      <w:r>
        <w:rPr>
          <w:sz w:val="28"/>
        </w:rPr>
        <w:lastRenderedPageBreak/>
        <w:t>Причины реформирования государственных и муниципальных</w:t>
      </w:r>
      <w:r>
        <w:rPr>
          <w:spacing w:val="-30"/>
          <w:sz w:val="28"/>
        </w:rPr>
        <w:t xml:space="preserve"> </w:t>
      </w:r>
      <w:r>
        <w:rPr>
          <w:sz w:val="28"/>
        </w:rPr>
        <w:t>учреждений, типы учреждений, механизмы их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финансирования.</w:t>
      </w:r>
    </w:p>
    <w:p w14:paraId="4E708A5A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44"/>
        </w:tabs>
        <w:spacing w:before="15" w:line="386" w:lineRule="auto"/>
        <w:ind w:right="331" w:hanging="10"/>
        <w:jc w:val="both"/>
        <w:rPr>
          <w:sz w:val="28"/>
        </w:rPr>
      </w:pPr>
      <w:r>
        <w:rPr>
          <w:sz w:val="28"/>
        </w:rPr>
        <w:t>Содержание и задачи учета в секторе государственного управления. Правовые основы организации учета в секторе государственного управления в Российской Федерации, особенности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4E787F5A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45"/>
        </w:tabs>
        <w:spacing w:before="12" w:line="386" w:lineRule="auto"/>
        <w:ind w:right="328" w:hanging="10"/>
        <w:jc w:val="both"/>
        <w:rPr>
          <w:sz w:val="28"/>
        </w:rPr>
      </w:pPr>
      <w:r>
        <w:rPr>
          <w:sz w:val="28"/>
        </w:rPr>
        <w:t>Современные направления совершенствования межбюджетных отношений в Российской Федерации: разграничение полномочий между уровнями публичной власти, сокращение дифференциации в уровне социально- экономического развития и бюджетной обеспеченности субъектов Российской 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межбюджетных трансфертов.</w:t>
      </w:r>
    </w:p>
    <w:p w14:paraId="7FBA85AB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93"/>
        </w:tabs>
        <w:spacing w:before="12" w:line="386" w:lineRule="auto"/>
        <w:ind w:right="329" w:hanging="10"/>
        <w:jc w:val="both"/>
        <w:rPr>
          <w:sz w:val="28"/>
        </w:rPr>
      </w:pPr>
      <w:r>
        <w:rPr>
          <w:sz w:val="28"/>
        </w:rPr>
        <w:t>Национальные проекты, их роль в реализации стратегических цели и задач, целей устойчивого развития. Обеспечение полной прослеживаемости</w:t>
      </w:r>
      <w:r>
        <w:rPr>
          <w:spacing w:val="-48"/>
          <w:sz w:val="28"/>
        </w:rPr>
        <w:t xml:space="preserve"> </w:t>
      </w:r>
      <w:r>
        <w:rPr>
          <w:sz w:val="28"/>
        </w:rPr>
        <w:t>движения средств бюджетов бюджетной системы Российской Федерации, направленных на реализацию 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проектов.</w:t>
      </w:r>
    </w:p>
    <w:p w14:paraId="31A6F97E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62"/>
        </w:tabs>
        <w:spacing w:before="13" w:line="386" w:lineRule="auto"/>
        <w:ind w:right="330" w:hanging="10"/>
        <w:jc w:val="both"/>
        <w:rPr>
          <w:sz w:val="28"/>
        </w:rPr>
      </w:pPr>
      <w:r>
        <w:rPr>
          <w:sz w:val="28"/>
        </w:rPr>
        <w:t>Роль суверенных фондов в современной экономике. Фонд национального благосостояния как вид суверенных фондов, особенности его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управления.</w:t>
      </w:r>
    </w:p>
    <w:p w14:paraId="6DBE20BA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22"/>
        </w:tabs>
        <w:spacing w:before="14" w:line="386" w:lineRule="auto"/>
        <w:ind w:right="334" w:hanging="10"/>
        <w:jc w:val="both"/>
        <w:rPr>
          <w:sz w:val="28"/>
        </w:rPr>
      </w:pPr>
      <w:r>
        <w:rPr>
          <w:sz w:val="28"/>
        </w:rPr>
        <w:t>Реформирование и развитие системы государственной гражданской службы 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14:paraId="31FA6420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85"/>
        </w:tabs>
        <w:spacing w:before="15" w:line="386" w:lineRule="auto"/>
        <w:ind w:right="335" w:hanging="10"/>
        <w:jc w:val="both"/>
        <w:rPr>
          <w:sz w:val="28"/>
        </w:rPr>
      </w:pPr>
      <w:r>
        <w:rPr>
          <w:sz w:val="28"/>
        </w:rPr>
        <w:t>Состоятельность государственной долговой политики и суверенные дефолты.</w:t>
      </w:r>
    </w:p>
    <w:p w14:paraId="6DDFF078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10"/>
        </w:tabs>
        <w:spacing w:before="15" w:line="386" w:lineRule="auto"/>
        <w:ind w:right="336" w:hanging="10"/>
        <w:jc w:val="both"/>
        <w:rPr>
          <w:sz w:val="28"/>
        </w:rPr>
      </w:pPr>
      <w:r>
        <w:rPr>
          <w:sz w:val="28"/>
        </w:rPr>
        <w:t>Эффективность расходов бюджета: понятие и основные подходы к ее определению. Направления повышения эффективности расходов бюджетов в Российской Федерации. Обзоры бюджетных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расходов.</w:t>
      </w:r>
    </w:p>
    <w:p w14:paraId="43192B6C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848"/>
        </w:tabs>
        <w:spacing w:before="12" w:line="386" w:lineRule="auto"/>
        <w:ind w:right="331" w:hanging="10"/>
        <w:jc w:val="both"/>
        <w:rPr>
          <w:sz w:val="28"/>
        </w:rPr>
      </w:pPr>
      <w:r>
        <w:rPr>
          <w:sz w:val="28"/>
        </w:rPr>
        <w:t xml:space="preserve">Понятие бюджетных рисков, их классификация. Управление </w:t>
      </w:r>
      <w:r>
        <w:rPr>
          <w:sz w:val="28"/>
        </w:rPr>
        <w:lastRenderedPageBreak/>
        <w:t>бюджетными рисками: российский и зарубежный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опыт.</w:t>
      </w:r>
    </w:p>
    <w:p w14:paraId="1BC73A56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73"/>
        </w:tabs>
        <w:spacing w:before="65" w:line="386" w:lineRule="auto"/>
        <w:ind w:right="331" w:hanging="10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Варианты кассового обслуживания исполнения бюджетов субъектов Российской Федерации и местных бюджетов: новации, связанные с введением казначейского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обслуживанию</w:t>
      </w:r>
    </w:p>
    <w:p w14:paraId="4515B95A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941"/>
        </w:tabs>
        <w:spacing w:before="12" w:line="386" w:lineRule="auto"/>
        <w:ind w:right="331" w:hanging="10"/>
        <w:jc w:val="both"/>
        <w:rPr>
          <w:sz w:val="28"/>
        </w:rPr>
      </w:pPr>
      <w:r>
        <w:rPr>
          <w:sz w:val="28"/>
        </w:rPr>
        <w:t>Государственные (муниципальные) программы, значение, особенности финансового обеспечения реализации пилотных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программ.</w:t>
      </w:r>
    </w:p>
    <w:p w14:paraId="6D748FCE" w14:textId="77777777" w:rsidR="00DE52E5" w:rsidRDefault="00DE52E5" w:rsidP="00DE52E5">
      <w:pPr>
        <w:pStyle w:val="a5"/>
        <w:numPr>
          <w:ilvl w:val="0"/>
          <w:numId w:val="4"/>
        </w:numPr>
        <w:tabs>
          <w:tab w:val="left" w:pos="1081"/>
        </w:tabs>
        <w:spacing w:before="15" w:line="386" w:lineRule="auto"/>
        <w:ind w:right="332" w:hanging="10"/>
        <w:jc w:val="both"/>
        <w:rPr>
          <w:sz w:val="28"/>
        </w:rPr>
      </w:pPr>
      <w:r>
        <w:rPr>
          <w:sz w:val="28"/>
        </w:rPr>
        <w:t>Программно-целевое управление бюджетом: понятие, принципы, инструменты. Направления совершенствования программно-целевого управления бюджетами бюджетной системы 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Федерации.</w:t>
      </w:r>
    </w:p>
    <w:p w14:paraId="4F56E0C3" w14:textId="77777777" w:rsidR="00DE52E5" w:rsidRPr="00DE52E5" w:rsidRDefault="00DE52E5" w:rsidP="00DE52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52E5" w:rsidRPr="00DE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D68"/>
    <w:multiLevelType w:val="multilevel"/>
    <w:tmpl w:val="DB00200E"/>
    <w:lvl w:ilvl="0">
      <w:start w:val="1"/>
      <w:numFmt w:val="decimal"/>
      <w:lvlText w:val="%1"/>
      <w:lvlJc w:val="left"/>
      <w:pPr>
        <w:ind w:left="410" w:hanging="7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0" w:hanging="7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9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616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1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1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1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9" w:hanging="708"/>
      </w:pPr>
      <w:rPr>
        <w:rFonts w:hint="default"/>
        <w:lang w:val="ru-RU" w:eastAsia="ru-RU" w:bidi="ru-RU"/>
      </w:rPr>
    </w:lvl>
  </w:abstractNum>
  <w:abstractNum w:abstractNumId="1" w15:restartNumberingAfterBreak="0">
    <w:nsid w:val="24C00A59"/>
    <w:multiLevelType w:val="hybridMultilevel"/>
    <w:tmpl w:val="6A06C560"/>
    <w:lvl w:ilvl="0" w:tplc="8AFECC16">
      <w:start w:val="12"/>
      <w:numFmt w:val="decimal"/>
      <w:lvlText w:val="%1."/>
      <w:lvlJc w:val="left"/>
      <w:pPr>
        <w:ind w:left="39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802004">
      <w:numFmt w:val="bullet"/>
      <w:lvlText w:val="•"/>
      <w:lvlJc w:val="left"/>
      <w:pPr>
        <w:ind w:left="1390" w:hanging="708"/>
      </w:pPr>
      <w:rPr>
        <w:rFonts w:hint="default"/>
        <w:lang w:val="ru-RU" w:eastAsia="ru-RU" w:bidi="ru-RU"/>
      </w:rPr>
    </w:lvl>
    <w:lvl w:ilvl="2" w:tplc="ABC075CC">
      <w:numFmt w:val="bullet"/>
      <w:lvlText w:val="•"/>
      <w:lvlJc w:val="left"/>
      <w:pPr>
        <w:ind w:left="2381" w:hanging="708"/>
      </w:pPr>
      <w:rPr>
        <w:rFonts w:hint="default"/>
        <w:lang w:val="ru-RU" w:eastAsia="ru-RU" w:bidi="ru-RU"/>
      </w:rPr>
    </w:lvl>
    <w:lvl w:ilvl="3" w:tplc="81D2BD78">
      <w:numFmt w:val="bullet"/>
      <w:lvlText w:val="•"/>
      <w:lvlJc w:val="left"/>
      <w:pPr>
        <w:ind w:left="3371" w:hanging="708"/>
      </w:pPr>
      <w:rPr>
        <w:rFonts w:hint="default"/>
        <w:lang w:val="ru-RU" w:eastAsia="ru-RU" w:bidi="ru-RU"/>
      </w:rPr>
    </w:lvl>
    <w:lvl w:ilvl="4" w:tplc="5B228166">
      <w:numFmt w:val="bullet"/>
      <w:lvlText w:val="•"/>
      <w:lvlJc w:val="left"/>
      <w:pPr>
        <w:ind w:left="4362" w:hanging="708"/>
      </w:pPr>
      <w:rPr>
        <w:rFonts w:hint="default"/>
        <w:lang w:val="ru-RU" w:eastAsia="ru-RU" w:bidi="ru-RU"/>
      </w:rPr>
    </w:lvl>
    <w:lvl w:ilvl="5" w:tplc="A45CD196">
      <w:numFmt w:val="bullet"/>
      <w:lvlText w:val="•"/>
      <w:lvlJc w:val="left"/>
      <w:pPr>
        <w:ind w:left="5353" w:hanging="708"/>
      </w:pPr>
      <w:rPr>
        <w:rFonts w:hint="default"/>
        <w:lang w:val="ru-RU" w:eastAsia="ru-RU" w:bidi="ru-RU"/>
      </w:rPr>
    </w:lvl>
    <w:lvl w:ilvl="6" w:tplc="290E8442">
      <w:numFmt w:val="bullet"/>
      <w:lvlText w:val="•"/>
      <w:lvlJc w:val="left"/>
      <w:pPr>
        <w:ind w:left="6343" w:hanging="708"/>
      </w:pPr>
      <w:rPr>
        <w:rFonts w:hint="default"/>
        <w:lang w:val="ru-RU" w:eastAsia="ru-RU" w:bidi="ru-RU"/>
      </w:rPr>
    </w:lvl>
    <w:lvl w:ilvl="7" w:tplc="601A2EB0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97CCE9A6">
      <w:numFmt w:val="bullet"/>
      <w:lvlText w:val="•"/>
      <w:lvlJc w:val="left"/>
      <w:pPr>
        <w:ind w:left="8325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55487E25"/>
    <w:multiLevelType w:val="multilevel"/>
    <w:tmpl w:val="00DE9B94"/>
    <w:lvl w:ilvl="0">
      <w:start w:val="1"/>
      <w:numFmt w:val="decimal"/>
      <w:lvlText w:val="%1"/>
      <w:lvlJc w:val="left"/>
      <w:pPr>
        <w:ind w:left="410" w:hanging="773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410" w:hanging="7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81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0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8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91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4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7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0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57BD2572"/>
    <w:multiLevelType w:val="multilevel"/>
    <w:tmpl w:val="E8546D0E"/>
    <w:lvl w:ilvl="0">
      <w:start w:val="38"/>
      <w:numFmt w:val="decimal"/>
      <w:lvlText w:val="%1"/>
      <w:lvlJc w:val="left"/>
      <w:pPr>
        <w:ind w:left="384" w:hanging="1064"/>
        <w:jc w:val="left"/>
      </w:pPr>
      <w:rPr>
        <w:rFonts w:hint="default"/>
        <w:lang w:val="ru-RU" w:eastAsia="ru-RU" w:bidi="ru-RU"/>
      </w:rPr>
    </w:lvl>
    <w:lvl w:ilvl="1">
      <w:start w:val="4"/>
      <w:numFmt w:val="decimalZero"/>
      <w:lvlText w:val="%1.%2"/>
      <w:lvlJc w:val="left"/>
      <w:pPr>
        <w:ind w:left="384" w:hanging="1064"/>
        <w:jc w:val="left"/>
      </w:pPr>
      <w:rPr>
        <w:rFonts w:hint="default"/>
        <w:lang w:val="ru-RU" w:eastAsia="ru-RU" w:bidi="ru-RU"/>
      </w:rPr>
    </w:lvl>
    <w:lvl w:ilvl="2">
      <w:start w:val="8"/>
      <w:numFmt w:val="decimalZero"/>
      <w:lvlText w:val="%1.%2.%3"/>
      <w:lvlJc w:val="left"/>
      <w:pPr>
        <w:ind w:left="384" w:hanging="1064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725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398" w:hanging="4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314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13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1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408"/>
      </w:pPr>
      <w:rPr>
        <w:rFonts w:hint="default"/>
        <w:lang w:val="ru-RU" w:eastAsia="ru-RU" w:bidi="ru-RU"/>
      </w:rPr>
    </w:lvl>
  </w:abstractNum>
  <w:abstractNum w:abstractNumId="4" w15:restartNumberingAfterBreak="0">
    <w:nsid w:val="6E0D38BE"/>
    <w:multiLevelType w:val="hybridMultilevel"/>
    <w:tmpl w:val="FC060CC0"/>
    <w:lvl w:ilvl="0" w:tplc="5E28BE1C">
      <w:start w:val="1"/>
      <w:numFmt w:val="decimal"/>
      <w:lvlText w:val="%1."/>
      <w:lvlJc w:val="left"/>
      <w:pPr>
        <w:ind w:left="6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E118033A">
      <w:numFmt w:val="bullet"/>
      <w:lvlText w:val="•"/>
      <w:lvlJc w:val="left"/>
      <w:pPr>
        <w:ind w:left="1604" w:hanging="213"/>
      </w:pPr>
      <w:rPr>
        <w:rFonts w:hint="default"/>
        <w:lang w:val="ru-RU" w:eastAsia="ru-RU" w:bidi="ru-RU"/>
      </w:rPr>
    </w:lvl>
    <w:lvl w:ilvl="2" w:tplc="35AEBA64">
      <w:numFmt w:val="bullet"/>
      <w:lvlText w:val="•"/>
      <w:lvlJc w:val="left"/>
      <w:pPr>
        <w:ind w:left="2595" w:hanging="213"/>
      </w:pPr>
      <w:rPr>
        <w:rFonts w:hint="default"/>
        <w:lang w:val="ru-RU" w:eastAsia="ru-RU" w:bidi="ru-RU"/>
      </w:rPr>
    </w:lvl>
    <w:lvl w:ilvl="3" w:tplc="047437C4">
      <w:numFmt w:val="bullet"/>
      <w:lvlText w:val="•"/>
      <w:lvlJc w:val="left"/>
      <w:pPr>
        <w:ind w:left="3585" w:hanging="213"/>
      </w:pPr>
      <w:rPr>
        <w:rFonts w:hint="default"/>
        <w:lang w:val="ru-RU" w:eastAsia="ru-RU" w:bidi="ru-RU"/>
      </w:rPr>
    </w:lvl>
    <w:lvl w:ilvl="4" w:tplc="C34CD608">
      <w:numFmt w:val="bullet"/>
      <w:lvlText w:val="•"/>
      <w:lvlJc w:val="left"/>
      <w:pPr>
        <w:ind w:left="4576" w:hanging="213"/>
      </w:pPr>
      <w:rPr>
        <w:rFonts w:hint="default"/>
        <w:lang w:val="ru-RU" w:eastAsia="ru-RU" w:bidi="ru-RU"/>
      </w:rPr>
    </w:lvl>
    <w:lvl w:ilvl="5" w:tplc="8EBAD96A">
      <w:numFmt w:val="bullet"/>
      <w:lvlText w:val="•"/>
      <w:lvlJc w:val="left"/>
      <w:pPr>
        <w:ind w:left="5567" w:hanging="213"/>
      </w:pPr>
      <w:rPr>
        <w:rFonts w:hint="default"/>
        <w:lang w:val="ru-RU" w:eastAsia="ru-RU" w:bidi="ru-RU"/>
      </w:rPr>
    </w:lvl>
    <w:lvl w:ilvl="6" w:tplc="6BCE1FC6">
      <w:numFmt w:val="bullet"/>
      <w:lvlText w:val="•"/>
      <w:lvlJc w:val="left"/>
      <w:pPr>
        <w:ind w:left="6557" w:hanging="213"/>
      </w:pPr>
      <w:rPr>
        <w:rFonts w:hint="default"/>
        <w:lang w:val="ru-RU" w:eastAsia="ru-RU" w:bidi="ru-RU"/>
      </w:rPr>
    </w:lvl>
    <w:lvl w:ilvl="7" w:tplc="5E902AA2">
      <w:numFmt w:val="bullet"/>
      <w:lvlText w:val="•"/>
      <w:lvlJc w:val="left"/>
      <w:pPr>
        <w:ind w:left="7548" w:hanging="213"/>
      </w:pPr>
      <w:rPr>
        <w:rFonts w:hint="default"/>
        <w:lang w:val="ru-RU" w:eastAsia="ru-RU" w:bidi="ru-RU"/>
      </w:rPr>
    </w:lvl>
    <w:lvl w:ilvl="8" w:tplc="F48C24C0">
      <w:numFmt w:val="bullet"/>
      <w:lvlText w:val="•"/>
      <w:lvlJc w:val="left"/>
      <w:pPr>
        <w:ind w:left="8539" w:hanging="21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95"/>
    <w:rsid w:val="00CE4795"/>
    <w:rsid w:val="00D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A9EC"/>
  <w15:chartTrackingRefBased/>
  <w15:docId w15:val="{86C27D6D-D6B1-498B-A1D1-60E69FF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DE52E5"/>
    <w:pPr>
      <w:widowControl w:val="0"/>
      <w:autoSpaceDE w:val="0"/>
      <w:autoSpaceDN w:val="0"/>
      <w:spacing w:after="0" w:line="240" w:lineRule="auto"/>
      <w:ind w:left="49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2E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E52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52E5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E52E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E52E5"/>
    <w:pPr>
      <w:widowControl w:val="0"/>
      <w:autoSpaceDE w:val="0"/>
      <w:autoSpaceDN w:val="0"/>
      <w:spacing w:after="0" w:line="240" w:lineRule="auto"/>
      <w:ind w:left="3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E52E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F5480-D0B8-48F0-B509-5E9E0479F586}"/>
</file>

<file path=customXml/itemProps2.xml><?xml version="1.0" encoding="utf-8"?>
<ds:datastoreItem xmlns:ds="http://schemas.openxmlformats.org/officeDocument/2006/customXml" ds:itemID="{C04D0BD5-55C8-453C-B3C7-EDD46EE7EED4}"/>
</file>

<file path=customXml/itemProps3.xml><?xml version="1.0" encoding="utf-8"?>
<ds:datastoreItem xmlns:ds="http://schemas.openxmlformats.org/officeDocument/2006/customXml" ds:itemID="{791DC2F4-E4ED-4E97-8CC7-B2310BECD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2020-09-07T13:41:00Z</dcterms:created>
  <dcterms:modified xsi:type="dcterms:W3CDTF">2020-09-07T13:43:00Z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