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CB8" w:rsidRPr="00F33F03" w:rsidRDefault="00584A17">
      <w:pPr>
        <w:spacing w:after="294"/>
        <w:ind w:left="0" w:right="27" w:firstLine="0"/>
        <w:jc w:val="right"/>
        <w:rPr>
          <w:b w:val="0"/>
          <w:i/>
        </w:rPr>
      </w:pPr>
      <w:r w:rsidRPr="00F33F03">
        <w:rPr>
          <w:b w:val="0"/>
          <w:i/>
        </w:rPr>
        <w:t>Приложение</w:t>
      </w:r>
      <w:r w:rsidR="009D1DD1" w:rsidRPr="00F33F03">
        <w:rPr>
          <w:b w:val="0"/>
          <w:i/>
        </w:rPr>
        <w:t xml:space="preserve"> к СЗ от </w:t>
      </w:r>
      <w:r w:rsidR="009D1DD1" w:rsidRPr="00F33F03">
        <w:rPr>
          <w:b w:val="0"/>
          <w:i/>
        </w:rPr>
        <w:t>14.09.2026 № 16704/01.18-09</w:t>
      </w:r>
    </w:p>
    <w:p w:rsidR="00F33F03" w:rsidRDefault="00F33F03" w:rsidP="002C7978">
      <w:pPr>
        <w:spacing w:after="0" w:line="240" w:lineRule="auto"/>
        <w:ind w:left="1667" w:hanging="11"/>
      </w:pPr>
    </w:p>
    <w:p w:rsidR="00494CB8" w:rsidRDefault="00584A17" w:rsidP="002C7978">
      <w:pPr>
        <w:spacing w:after="0" w:line="240" w:lineRule="auto"/>
        <w:ind w:left="1667" w:hanging="11"/>
      </w:pPr>
      <w:r>
        <w:t xml:space="preserve">Темы выпускных квалификационных работ </w:t>
      </w:r>
    </w:p>
    <w:p w:rsidR="006C0ADA" w:rsidRDefault="001926DD" w:rsidP="002C7978">
      <w:pPr>
        <w:spacing w:after="0" w:line="240" w:lineRule="auto"/>
        <w:ind w:left="1667" w:hanging="11"/>
      </w:pPr>
      <w:r>
        <w:t>(ВКР к</w:t>
      </w:r>
      <w:r w:rsidR="006C0ADA">
        <w:t>ак проект по заказу работодателя</w:t>
      </w:r>
      <w:r>
        <w:t>)</w:t>
      </w:r>
    </w:p>
    <w:p w:rsidR="002C7978" w:rsidRDefault="002C7978" w:rsidP="002C7978">
      <w:pPr>
        <w:spacing w:after="0" w:line="240" w:lineRule="auto"/>
        <w:ind w:left="1667" w:hanging="11"/>
      </w:pPr>
    </w:p>
    <w:p w:rsidR="002C7978" w:rsidRDefault="002C7978" w:rsidP="002C7978">
      <w:pPr>
        <w:spacing w:after="0" w:line="240" w:lineRule="auto"/>
        <w:ind w:left="1667" w:hanging="11"/>
      </w:pPr>
    </w:p>
    <w:p w:rsidR="002C7978" w:rsidRPr="009D1DD1" w:rsidRDefault="002C7978" w:rsidP="002C7978">
      <w:pPr>
        <w:spacing w:after="0" w:line="240" w:lineRule="auto"/>
        <w:ind w:left="1667" w:hanging="11"/>
        <w:rPr>
          <w:lang w:val="en-US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 xml:space="preserve">от Министерства здравоохранения Российской Федерации </w:t>
      </w:r>
    </w:p>
    <w:p w:rsidR="00494CB8" w:rsidRPr="00823CBC" w:rsidRDefault="00584A17" w:rsidP="00823CBC">
      <w:pPr>
        <w:spacing w:after="0" w:line="240" w:lineRule="auto"/>
        <w:ind w:left="0"/>
        <w:jc w:val="center"/>
        <w:rPr>
          <w:szCs w:val="28"/>
        </w:rPr>
      </w:pPr>
      <w:r w:rsidRPr="00823CBC">
        <w:rPr>
          <w:szCs w:val="28"/>
        </w:rPr>
        <w:t>(Минздрав России)</w:t>
      </w:r>
    </w:p>
    <w:tbl>
      <w:tblPr>
        <w:tblStyle w:val="TableGrid"/>
        <w:tblW w:w="9911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498"/>
        <w:gridCol w:w="9413"/>
      </w:tblGrid>
      <w:tr w:rsidR="00494CB8" w:rsidRPr="00823CBC">
        <w:trPr>
          <w:trHeight w:val="659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 w:rsidTr="00823CBC">
        <w:trPr>
          <w:trHeight w:val="75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Совершенствование кадровой политики медицинской организации и механизмы снижения текучести кадров</w:t>
            </w:r>
          </w:p>
        </w:tc>
      </w:tr>
      <w:tr w:rsidR="00494CB8" w:rsidRPr="00823CBC" w:rsidTr="00823CBC">
        <w:trPr>
          <w:trHeight w:val="6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2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Управление кадровыми рисками в медицинской организации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3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Профилактика профессионального выгорания медицинских работников как направление кадровой политики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>от Социального фонда России (СФР России)</w:t>
      </w:r>
    </w:p>
    <w:tbl>
      <w:tblPr>
        <w:tblStyle w:val="TableGrid"/>
        <w:tblW w:w="9911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498"/>
        <w:gridCol w:w="9413"/>
      </w:tblGrid>
      <w:tr w:rsidR="00494CB8" w:rsidRPr="00823CBC">
        <w:trPr>
          <w:trHeight w:val="659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>
        <w:trPr>
          <w:trHeight w:val="58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Совершенствование процессов управления проектами в СФР</w:t>
            </w:r>
            <w:r w:rsidR="004371DA">
              <w:rPr>
                <w:b w:val="0"/>
                <w:szCs w:val="28"/>
              </w:rPr>
              <w:t xml:space="preserve"> </w:t>
            </w:r>
          </w:p>
        </w:tc>
      </w:tr>
      <w:tr w:rsidR="00494CB8" w:rsidRPr="00823CBC">
        <w:trPr>
          <w:trHeight w:val="56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2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Дизайн-мышление в проектной деятельности организации будущего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3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Повышение эффективности проектной деятельности в СФР за счет синергии процессного и проектного подходов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>от ПАО Банк «ПСБ»</w:t>
      </w:r>
    </w:p>
    <w:tbl>
      <w:tblPr>
        <w:tblStyle w:val="TableGrid"/>
        <w:tblW w:w="9911" w:type="dxa"/>
        <w:tblInd w:w="-809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8"/>
        <w:gridCol w:w="9413"/>
      </w:tblGrid>
      <w:tr w:rsidR="00494CB8" w:rsidRPr="00823CBC">
        <w:trPr>
          <w:trHeight w:val="659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>
        <w:trPr>
          <w:trHeight w:val="65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Перспективы развития цифрового рубля</w:t>
            </w:r>
            <w:r w:rsidR="00537A39">
              <w:rPr>
                <w:b w:val="0"/>
                <w:szCs w:val="28"/>
              </w:rPr>
              <w:t xml:space="preserve"> в разрезе оценки общественного мнения</w:t>
            </w:r>
          </w:p>
        </w:tc>
      </w:tr>
      <w:tr w:rsidR="00494CB8" w:rsidRPr="00823CBC">
        <w:trPr>
          <w:trHeight w:val="569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2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Возможности и ограничения популяризации ЦФА (массовости)</w:t>
            </w:r>
          </w:p>
        </w:tc>
      </w:tr>
      <w:tr w:rsidR="00494CB8" w:rsidRPr="00823CBC">
        <w:trPr>
          <w:trHeight w:val="61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3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 xml:space="preserve">Перспективы развития </w:t>
            </w:r>
            <w:proofErr w:type="spellStart"/>
            <w:r w:rsidRPr="00823CBC">
              <w:rPr>
                <w:b w:val="0"/>
                <w:szCs w:val="28"/>
              </w:rPr>
              <w:t>мультибанкинга</w:t>
            </w:r>
            <w:proofErr w:type="spellEnd"/>
            <w:r w:rsidRPr="00823CBC">
              <w:rPr>
                <w:b w:val="0"/>
                <w:szCs w:val="28"/>
              </w:rPr>
              <w:t xml:space="preserve"> в РФ (пример - </w:t>
            </w:r>
            <w:proofErr w:type="spellStart"/>
            <w:r w:rsidRPr="00823CBC">
              <w:rPr>
                <w:b w:val="0"/>
                <w:szCs w:val="28"/>
              </w:rPr>
              <w:t>Revolute</w:t>
            </w:r>
            <w:proofErr w:type="spellEnd"/>
            <w:r w:rsidRPr="00823CBC">
              <w:rPr>
                <w:b w:val="0"/>
                <w:szCs w:val="28"/>
              </w:rPr>
              <w:t>)</w:t>
            </w:r>
          </w:p>
        </w:tc>
      </w:tr>
      <w:tr w:rsidR="00494CB8" w:rsidRPr="00823CBC">
        <w:tblPrEx>
          <w:tblCellMar>
            <w:top w:w="72" w:type="dxa"/>
            <w:right w:w="38" w:type="dxa"/>
          </w:tblCellMar>
        </w:tblPrEx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4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Стратегия цифровой трансформации банка в условиях внедрения цифрового рубля. Как подготовить банк к внедрению цифрового рубля</w:t>
            </w:r>
          </w:p>
        </w:tc>
      </w:tr>
    </w:tbl>
    <w:p w:rsidR="00FB0A6C" w:rsidRDefault="00FB0A6C" w:rsidP="00823CBC">
      <w:pPr>
        <w:spacing w:after="0" w:line="240" w:lineRule="auto"/>
        <w:ind w:left="0" w:firstLine="0"/>
        <w:rPr>
          <w:szCs w:val="28"/>
        </w:rPr>
      </w:pPr>
    </w:p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823CBC" w:rsidRP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lastRenderedPageBreak/>
        <w:t xml:space="preserve">от Федерального агентства по делам Содружества Независимых </w:t>
      </w:r>
    </w:p>
    <w:p w:rsidR="00494CB8" w:rsidRPr="00823CBC" w:rsidRDefault="00584A17" w:rsidP="00823CBC">
      <w:pPr>
        <w:spacing w:after="0" w:line="240" w:lineRule="auto"/>
        <w:ind w:left="0"/>
        <w:jc w:val="center"/>
        <w:rPr>
          <w:szCs w:val="28"/>
        </w:rPr>
      </w:pPr>
      <w:r w:rsidRPr="00823CBC">
        <w:rPr>
          <w:szCs w:val="28"/>
        </w:rPr>
        <w:t>Государств, соотечественников, проживающих за рубежом, и по международному гуманитарному сотрудничеству (Россотрудничество)</w:t>
      </w:r>
    </w:p>
    <w:tbl>
      <w:tblPr>
        <w:tblStyle w:val="TableGrid"/>
        <w:tblW w:w="9911" w:type="dxa"/>
        <w:tblInd w:w="-809" w:type="dxa"/>
        <w:tblCellMar>
          <w:top w:w="72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499"/>
        <w:gridCol w:w="9412"/>
      </w:tblGrid>
      <w:tr w:rsidR="00494CB8" w:rsidRPr="00823CBC" w:rsidTr="00FB0A6C">
        <w:trPr>
          <w:trHeight w:val="659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 w:rsidTr="00FB0A6C">
        <w:trPr>
          <w:trHeight w:val="91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</w:p>
        </w:tc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Разработка методики оценки и контроля хода исполнения проектов</w:t>
            </w:r>
          </w:p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Россотрудничества, а также индивидуальных параметров их эффективности</w:t>
            </w:r>
          </w:p>
        </w:tc>
      </w:tr>
      <w:tr w:rsidR="00494CB8" w:rsidRPr="00823CBC" w:rsidTr="00FB0A6C">
        <w:trPr>
          <w:trHeight w:val="65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Роль образовательной политики России в контексте продвижения позитивного образа России за рубежом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>от Федерального агентства по делам молодёжи (Росмолодежь)</w:t>
      </w:r>
    </w:p>
    <w:tbl>
      <w:tblPr>
        <w:tblStyle w:val="TableGrid"/>
        <w:tblW w:w="9911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498"/>
        <w:gridCol w:w="9413"/>
      </w:tblGrid>
      <w:tr w:rsidR="00494CB8" w:rsidRPr="00823CBC">
        <w:trPr>
          <w:trHeight w:val="659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 w:rsidTr="00537A39">
        <w:trPr>
          <w:trHeight w:val="103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Коллаборации региональных проектных офисов с местными медиа и блогерами как формат спецпроектов в рамках национального проекта «Молодежь и дети»</w:t>
            </w:r>
          </w:p>
        </w:tc>
      </w:tr>
      <w:tr w:rsidR="00494CB8" w:rsidRPr="00823CBC">
        <w:trPr>
          <w:trHeight w:val="84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2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Спецпроекты по адаптации возможностей национального проекта «Молодежь и дети» для молодежи малых городов и сельских территорий</w:t>
            </w:r>
          </w:p>
        </w:tc>
      </w:tr>
      <w:tr w:rsidR="00494CB8" w:rsidRPr="00823CBC">
        <w:trPr>
          <w:trHeight w:val="81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3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Креативные форматы социальной рекламы в профилактике деструктивного поведения подростков: от информирования к вовлечению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4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Механизмы вовлечения молодежи в социально-экономическое развитие регионов в рамках реализации национального проекта «Молодежь и дети»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5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Методология мониторинга и контроля реализации национального проекта «Молодежь и дети»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6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Анализ рисков при реализации национального проекта «Молодежь и дети» на федеральном и региональном уровне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7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Ключевые риски реализации национального проекта «Молодежь и дети» и стратегии их минимизации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>от Государственной корпорации «Агентство по страхованию вкладов»</w:t>
      </w:r>
    </w:p>
    <w:tbl>
      <w:tblPr>
        <w:tblStyle w:val="TableGrid"/>
        <w:tblW w:w="9911" w:type="dxa"/>
        <w:tblInd w:w="-809" w:type="dxa"/>
        <w:tblCellMar>
          <w:top w:w="152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499"/>
        <w:gridCol w:w="9412"/>
      </w:tblGrid>
      <w:tr w:rsidR="00494CB8" w:rsidRPr="00823CBC" w:rsidTr="00FB0A6C">
        <w:trPr>
          <w:trHeight w:val="659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 w:rsidTr="00FB0A6C">
        <w:tblPrEx>
          <w:tblCellMar>
            <w:top w:w="72" w:type="dxa"/>
            <w:right w:w="38" w:type="dxa"/>
          </w:tblCellMar>
        </w:tblPrEx>
        <w:trPr>
          <w:trHeight w:val="65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Новые подходы к повышению уровня осведомленности молодежи о системе страхования вкладов.</w:t>
            </w:r>
          </w:p>
        </w:tc>
      </w:tr>
      <w:tr w:rsidR="00494CB8" w:rsidRPr="00823CBC" w:rsidTr="00FB0A6C">
        <w:tblPrEx>
          <w:tblCellMar>
            <w:top w:w="72" w:type="dxa"/>
            <w:right w:w="38" w:type="dxa"/>
          </w:tblCellMar>
        </w:tblPrEx>
        <w:trPr>
          <w:trHeight w:val="332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Формирование положительного имиджа ГК «ACB» как работодателя.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lastRenderedPageBreak/>
        <w:t>от Министерства промышленности и торговли Российской Федерации (Минпромторг России)</w:t>
      </w:r>
    </w:p>
    <w:tbl>
      <w:tblPr>
        <w:tblStyle w:val="TableGrid"/>
        <w:tblW w:w="9747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959"/>
        <w:gridCol w:w="8788"/>
      </w:tblGrid>
      <w:tr w:rsidR="00494CB8" w:rsidRPr="00823CBC">
        <w:trPr>
          <w:trHeight w:val="3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 xml:space="preserve">Роль </w:t>
            </w:r>
            <w:proofErr w:type="spellStart"/>
            <w:r w:rsidRPr="00823CBC">
              <w:rPr>
                <w:b w:val="0"/>
                <w:szCs w:val="28"/>
              </w:rPr>
              <w:t>маркетплейсов</w:t>
            </w:r>
            <w:proofErr w:type="spellEnd"/>
            <w:r w:rsidRPr="00823CBC">
              <w:rPr>
                <w:b w:val="0"/>
                <w:szCs w:val="28"/>
              </w:rPr>
              <w:t xml:space="preserve"> в реализации протекционистской политики государства: возможности и барьеры.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Факторы, влияющие на формирование образа российской промышленности, в период XIX-XXI веков.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3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Работа со СМИ как инструмент создания образа успешного работодателя (на примере промышленного предприятия).</w:t>
            </w:r>
          </w:p>
        </w:tc>
      </w:tr>
    </w:tbl>
    <w:p w:rsidR="00494CB8" w:rsidRPr="00823CBC" w:rsidRDefault="00494CB8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 xml:space="preserve">от Федеральной службы по финансовому мониторингу </w:t>
      </w:r>
    </w:p>
    <w:p w:rsidR="00494CB8" w:rsidRPr="00823CBC" w:rsidRDefault="00584A17" w:rsidP="00823CBC">
      <w:pPr>
        <w:spacing w:after="0" w:line="240" w:lineRule="auto"/>
        <w:ind w:left="0"/>
        <w:jc w:val="center"/>
        <w:rPr>
          <w:szCs w:val="28"/>
        </w:rPr>
      </w:pPr>
      <w:r w:rsidRPr="00823CBC">
        <w:rPr>
          <w:szCs w:val="28"/>
        </w:rPr>
        <w:t>(Росфинмониторинг)</w:t>
      </w:r>
    </w:p>
    <w:tbl>
      <w:tblPr>
        <w:tblStyle w:val="TableGrid"/>
        <w:tblW w:w="9747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959"/>
        <w:gridCol w:w="8788"/>
      </w:tblGrid>
      <w:tr w:rsidR="00494CB8" w:rsidRPr="00823CBC">
        <w:trPr>
          <w:trHeight w:val="3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Глобальный индекс терроризма: создание моделей, основанных на российском подходе.</w:t>
            </w:r>
          </w:p>
        </w:tc>
      </w:tr>
      <w:tr w:rsidR="00494CB8" w:rsidRPr="00823CBC">
        <w:trPr>
          <w:trHeight w:val="9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"Миграция и национальная безопасность: влияние миграционных потоков на политическую и социальную стабильность Российской Федерации".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3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Применение цифровых технологий и искусственного интеллекта для мониторинга открытых источников и социальных сетей.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4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Современные подходы к мотивации государственных служащих. Методика расчета KPI на госслужбе.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5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Современные подходы к организации подбора кадров на государственную службу. Источники комплектования.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>от Казначейства России</w:t>
      </w:r>
    </w:p>
    <w:tbl>
      <w:tblPr>
        <w:tblStyle w:val="TableGrid"/>
        <w:tblW w:w="9747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959"/>
        <w:gridCol w:w="8788"/>
      </w:tblGrid>
      <w:tr w:rsidR="00494CB8" w:rsidRPr="00823CBC">
        <w:trPr>
          <w:trHeight w:val="3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Оптимизация кадровых процессов при внедрении ИИ: возможности и риски.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>от Федеральной налоговой службы (ФНС России)</w:t>
      </w:r>
    </w:p>
    <w:tbl>
      <w:tblPr>
        <w:tblStyle w:val="TableGrid"/>
        <w:tblW w:w="9918" w:type="dxa"/>
        <w:tblInd w:w="-809" w:type="dxa"/>
        <w:tblCellMar>
          <w:top w:w="72" w:type="dxa"/>
          <w:left w:w="108" w:type="dxa"/>
          <w:right w:w="247" w:type="dxa"/>
        </w:tblCellMar>
        <w:tblLook w:val="04A0" w:firstRow="1" w:lastRow="0" w:firstColumn="1" w:lastColumn="0" w:noHBand="0" w:noVBand="1"/>
      </w:tblPr>
      <w:tblGrid>
        <w:gridCol w:w="637"/>
        <w:gridCol w:w="9281"/>
      </w:tblGrid>
      <w:tr w:rsidR="00494CB8" w:rsidRPr="00823CBC" w:rsidTr="00FB0A6C">
        <w:trPr>
          <w:trHeight w:val="33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 w:rsidTr="00823CBC">
        <w:tblPrEx>
          <w:tblCellMar>
            <w:right w:w="44" w:type="dxa"/>
          </w:tblCellMar>
        </w:tblPrEx>
        <w:trPr>
          <w:trHeight w:val="654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Геймификация в Личном кабинете налогоплательщика для повышения налоговой грамотности молодёжи.</w:t>
            </w:r>
          </w:p>
        </w:tc>
      </w:tr>
      <w:tr w:rsidR="00494CB8" w:rsidRPr="00823CBC" w:rsidTr="00823CBC">
        <w:tblPrEx>
          <w:tblCellMar>
            <w:right w:w="44" w:type="dxa"/>
          </w:tblCellMar>
        </w:tblPrEx>
        <w:trPr>
          <w:trHeight w:val="97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Геймификация интерактивных сервисов (услуг) ФНС России: оценка потенциальных барьеров, рисков, преимуществ и социологического эффекта.</w:t>
            </w:r>
          </w:p>
        </w:tc>
      </w:tr>
      <w:tr w:rsidR="00494CB8" w:rsidRPr="00823CBC" w:rsidTr="00823CBC">
        <w:tblPrEx>
          <w:tblCellMar>
            <w:right w:w="44" w:type="dxa"/>
          </w:tblCellMar>
        </w:tblPrEx>
        <w:trPr>
          <w:trHeight w:val="654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3</w:t>
            </w:r>
          </w:p>
        </w:tc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Доверие граждан к цифровым сервисам государства: факторы формирования и методы оценки.</w:t>
            </w:r>
          </w:p>
        </w:tc>
      </w:tr>
      <w:tr w:rsidR="00494CB8" w:rsidRPr="00823CBC" w:rsidTr="00823CBC">
        <w:tblPrEx>
          <w:tblCellMar>
            <w:right w:w="44" w:type="dxa"/>
          </w:tblCellMar>
        </w:tblPrEx>
        <w:trPr>
          <w:trHeight w:val="654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lastRenderedPageBreak/>
              <w:t>4</w:t>
            </w:r>
          </w:p>
        </w:tc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ИИ на государственной службе: актуальность применения, перспективы внедрения.</w:t>
            </w:r>
          </w:p>
        </w:tc>
      </w:tr>
      <w:tr w:rsidR="00494CB8" w:rsidRPr="00823CBC" w:rsidTr="00823CBC">
        <w:tblPrEx>
          <w:tblCellMar>
            <w:right w:w="58" w:type="dxa"/>
          </w:tblCellMar>
        </w:tblPrEx>
        <w:trPr>
          <w:trHeight w:val="2024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5</w:t>
            </w:r>
          </w:p>
        </w:tc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Корпоративная культура и социально-психологический климат:</w:t>
            </w:r>
          </w:p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профилактика профессионального выгорания и стресс-менеджмент среди сотрудников налоговых органов; дефицит кадров и удержание талантливых специалистов; укрепление корпоративной культуры в налоговых органах; оценка социально-психологического климата в коллективе как метод снижения конфликтности и повышения продуктивности.</w:t>
            </w:r>
          </w:p>
        </w:tc>
      </w:tr>
      <w:tr w:rsidR="00494CB8" w:rsidRPr="00823CBC" w:rsidTr="00823CBC">
        <w:tblPrEx>
          <w:tblCellMar>
            <w:right w:w="43" w:type="dxa"/>
          </w:tblCellMar>
        </w:tblPrEx>
        <w:trPr>
          <w:trHeight w:val="654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6</w:t>
            </w:r>
          </w:p>
        </w:tc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Обратная связь граждан как инструмент совершенствования государственного управления.</w:t>
            </w:r>
          </w:p>
        </w:tc>
      </w:tr>
      <w:tr w:rsidR="00494CB8" w:rsidRPr="00823CBC">
        <w:tblPrEx>
          <w:tblCellMar>
            <w:right w:w="57" w:type="dxa"/>
          </w:tblCellMar>
        </w:tblPrEx>
        <w:trPr>
          <w:trHeight w:val="97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7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Оптимизация взаимодействия налоговой службы с налогоплательщиками в условиях цифровизации: аспекты информирования и клиентоориентированности.</w:t>
            </w:r>
          </w:p>
        </w:tc>
      </w:tr>
      <w:tr w:rsidR="00494CB8" w:rsidRPr="00823CBC">
        <w:tblPrEx>
          <w:tblCellMar>
            <w:right w:w="42" w:type="dxa"/>
          </w:tblCellMar>
        </w:tblPrEx>
        <w:trPr>
          <w:trHeight w:val="33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8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Отсутствие финансовой грамотности у населения и ее последствия.</w:t>
            </w:r>
          </w:p>
        </w:tc>
      </w:tr>
      <w:tr w:rsidR="00494CB8" w:rsidRPr="00823CBC">
        <w:tblPrEx>
          <w:tblCellMar>
            <w:right w:w="108" w:type="dxa"/>
          </w:tblCellMar>
        </w:tblPrEx>
        <w:trPr>
          <w:trHeight w:val="97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9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Роль СМИ и цифровых коммуникаций в формировании налоговой культуры населения в условиях расширения электронных сервисов ФНС России.</w:t>
            </w:r>
          </w:p>
        </w:tc>
      </w:tr>
      <w:tr w:rsidR="00494CB8" w:rsidRPr="00823CBC">
        <w:tblPrEx>
          <w:tblCellMar>
            <w:right w:w="47" w:type="dxa"/>
          </w:tblCellMar>
        </w:tblPrEx>
        <w:trPr>
          <w:trHeight w:val="65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10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Социальная эффективность цифровой трансформации государственных услуг: подходы к оценке.</w:t>
            </w:r>
          </w:p>
        </w:tc>
      </w:tr>
      <w:tr w:rsidR="00494CB8" w:rsidRPr="00823CBC">
        <w:tblPrEx>
          <w:tblCellMar>
            <w:right w:w="47" w:type="dxa"/>
          </w:tblCellMar>
        </w:tblPrEx>
        <w:trPr>
          <w:trHeight w:val="65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11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Социальные ожидания граждан в отношении качества предоставления государственных услуг в цифровой среде.</w:t>
            </w:r>
          </w:p>
        </w:tc>
      </w:tr>
      <w:tr w:rsidR="00494CB8" w:rsidRPr="00823CBC">
        <w:tblPrEx>
          <w:tblCellMar>
            <w:right w:w="47" w:type="dxa"/>
          </w:tblCellMar>
        </w:tblPrEx>
        <w:trPr>
          <w:trHeight w:val="65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12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Социологические подходы к исследованию удовлетворенности граждан деятельностью государственных органов.</w:t>
            </w:r>
          </w:p>
        </w:tc>
      </w:tr>
      <w:tr w:rsidR="00494CB8" w:rsidRPr="00823CBC">
        <w:tblPrEx>
          <w:tblCellMar>
            <w:right w:w="47" w:type="dxa"/>
          </w:tblCellMar>
        </w:tblPrEx>
        <w:trPr>
          <w:trHeight w:val="97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13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Социологическое исследование поведенческих барьеров при использовании интерактивных сервисов ФНС России и механизмы их устранения.</w:t>
            </w:r>
          </w:p>
        </w:tc>
      </w:tr>
      <w:tr w:rsidR="00494CB8" w:rsidRPr="00823CBC">
        <w:tblPrEx>
          <w:tblCellMar>
            <w:right w:w="108" w:type="dxa"/>
          </w:tblCellMar>
        </w:tblPrEx>
        <w:trPr>
          <w:trHeight w:val="65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14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Трансформация</w:t>
            </w:r>
            <w:r w:rsidR="00537A39">
              <w:rPr>
                <w:b w:val="0"/>
                <w:szCs w:val="28"/>
              </w:rPr>
              <w:t xml:space="preserve"> </w:t>
            </w:r>
            <w:r w:rsidRPr="00823CBC">
              <w:rPr>
                <w:b w:val="0"/>
                <w:szCs w:val="28"/>
              </w:rPr>
              <w:t>коммуникаций</w:t>
            </w:r>
            <w:r w:rsidR="00537A39">
              <w:rPr>
                <w:b w:val="0"/>
                <w:szCs w:val="28"/>
              </w:rPr>
              <w:t xml:space="preserve"> </w:t>
            </w:r>
            <w:r w:rsidRPr="00823CBC">
              <w:rPr>
                <w:b w:val="0"/>
                <w:szCs w:val="28"/>
              </w:rPr>
              <w:t>между</w:t>
            </w:r>
            <w:r w:rsidR="00537A39">
              <w:rPr>
                <w:b w:val="0"/>
                <w:szCs w:val="28"/>
              </w:rPr>
              <w:t xml:space="preserve"> </w:t>
            </w:r>
            <w:r w:rsidRPr="00823CBC">
              <w:rPr>
                <w:b w:val="0"/>
                <w:szCs w:val="28"/>
              </w:rPr>
              <w:t>государством</w:t>
            </w:r>
            <w:r w:rsidRPr="00823CBC">
              <w:rPr>
                <w:b w:val="0"/>
                <w:szCs w:val="28"/>
              </w:rPr>
              <w:tab/>
              <w:t>и гражданами в условиях цифровизации.</w:t>
            </w:r>
          </w:p>
        </w:tc>
      </w:tr>
      <w:tr w:rsidR="00494CB8" w:rsidRPr="00823CBC">
        <w:tblPrEx>
          <w:tblCellMar>
            <w:right w:w="108" w:type="dxa"/>
          </w:tblCellMar>
        </w:tblPrEx>
        <w:trPr>
          <w:trHeight w:val="33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15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Формирования развития кадрового резерва: проблемы и пути решения.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>от Ассоциации развития финансовой грамотности</w:t>
      </w:r>
    </w:p>
    <w:tbl>
      <w:tblPr>
        <w:tblStyle w:val="TableGrid"/>
        <w:tblW w:w="9911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498"/>
        <w:gridCol w:w="9413"/>
      </w:tblGrid>
      <w:tr w:rsidR="00494CB8" w:rsidRPr="00823CBC">
        <w:trPr>
          <w:trHeight w:val="659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>
        <w:trPr>
          <w:trHeight w:val="81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 xml:space="preserve">Поведенческие </w:t>
            </w:r>
            <w:proofErr w:type="spellStart"/>
            <w:r w:rsidRPr="00823CBC">
              <w:rPr>
                <w:b w:val="0"/>
                <w:szCs w:val="28"/>
              </w:rPr>
              <w:t>наджи</w:t>
            </w:r>
            <w:proofErr w:type="spellEnd"/>
            <w:r w:rsidRPr="00823CBC">
              <w:rPr>
                <w:b w:val="0"/>
                <w:szCs w:val="28"/>
              </w:rPr>
              <w:t xml:space="preserve"> в финансовых услугах: опыт использования в России и других странах.</w:t>
            </w:r>
          </w:p>
        </w:tc>
      </w:tr>
      <w:tr w:rsidR="00494CB8" w:rsidRPr="00823CBC">
        <w:trPr>
          <w:trHeight w:val="97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Поведенческие эффекты делегирования финансовых решений ИИ: анализ готовности, факторов доверия и рисков для потребительского благосостояния.</w:t>
            </w:r>
          </w:p>
        </w:tc>
      </w:tr>
      <w:tr w:rsidR="00494CB8" w:rsidRPr="00823CBC">
        <w:trPr>
          <w:trHeight w:val="97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lastRenderedPageBreak/>
              <w:t>3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Трансформация финансового поведения потребителей под влиянием ИИ</w:t>
            </w:r>
            <w:r w:rsidR="00E97FFD">
              <w:rPr>
                <w:b w:val="0"/>
                <w:szCs w:val="28"/>
              </w:rPr>
              <w:t xml:space="preserve"> </w:t>
            </w:r>
            <w:r w:rsidRPr="00823CBC">
              <w:rPr>
                <w:b w:val="0"/>
                <w:szCs w:val="28"/>
              </w:rPr>
              <w:t>рекомендательных систем: между повышением грамотности и рисками излишнего доверия.</w:t>
            </w:r>
          </w:p>
        </w:tc>
      </w:tr>
      <w:tr w:rsidR="00494CB8" w:rsidRPr="00823CBC">
        <w:trPr>
          <w:trHeight w:val="81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4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 xml:space="preserve">Финансовая </w:t>
            </w:r>
            <w:proofErr w:type="spellStart"/>
            <w:r w:rsidRPr="00823CBC">
              <w:rPr>
                <w:b w:val="0"/>
                <w:szCs w:val="28"/>
              </w:rPr>
              <w:t>кибергигиена</w:t>
            </w:r>
            <w:proofErr w:type="spellEnd"/>
            <w:r w:rsidRPr="00823CBC">
              <w:rPr>
                <w:b w:val="0"/>
                <w:szCs w:val="28"/>
              </w:rPr>
              <w:t xml:space="preserve"> населения как фактор снижения уязвимости к мошенничеству в цифровой среде.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5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Финансовое поведение поколений Y и Z: влияние цифровых привычек на инвестиционные стратегии.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6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Исследование социально демографического портрета волонтера финансового просвещения: Российский и международный опыт.</w:t>
            </w:r>
          </w:p>
        </w:tc>
      </w:tr>
      <w:tr w:rsidR="00494CB8" w:rsidRPr="00823CBC" w:rsidTr="00537A39">
        <w:trPr>
          <w:trHeight w:val="74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7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Методология оценки социально-экономического эффекта проектов в сфере финансового просвещения Российский и международный опыт.</w:t>
            </w:r>
          </w:p>
        </w:tc>
      </w:tr>
      <w:tr w:rsidR="00494CB8" w:rsidRPr="00823CBC">
        <w:trPr>
          <w:trHeight w:val="97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8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 xml:space="preserve">Оценка корпоративного </w:t>
            </w:r>
            <w:proofErr w:type="spellStart"/>
            <w:r w:rsidRPr="00823CBC">
              <w:rPr>
                <w:b w:val="0"/>
                <w:szCs w:val="28"/>
              </w:rPr>
              <w:t>волонтерства</w:t>
            </w:r>
            <w:proofErr w:type="spellEnd"/>
            <w:r w:rsidRPr="00823CBC">
              <w:rPr>
                <w:b w:val="0"/>
                <w:szCs w:val="28"/>
              </w:rPr>
              <w:t xml:space="preserve"> финансового просвещения в достижение целей устойчивого развития: Российский и международный опыт.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9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Международный опыт финансирования программ развития финансовой грамотности: лучшие практики.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  <w:r w:rsidR="00823CBC">
              <w:rPr>
                <w:b w:val="0"/>
                <w:szCs w:val="28"/>
              </w:rPr>
              <w:t>0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Язык финансовой грамотности в СМИ: роль медиа в снижении когнитивной нагрузки и повышении доверия к финансовому рынку.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  <w:r w:rsidR="00823CBC">
              <w:rPr>
                <w:b w:val="0"/>
                <w:szCs w:val="28"/>
              </w:rPr>
              <w:t>1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 xml:space="preserve">Финансовые мифы в цифровой среде: верификация и развенчание с помощью </w:t>
            </w:r>
            <w:proofErr w:type="spellStart"/>
            <w:r w:rsidRPr="00823CBC">
              <w:rPr>
                <w:b w:val="0"/>
                <w:szCs w:val="28"/>
              </w:rPr>
              <w:t>медиатехнологий</w:t>
            </w:r>
            <w:proofErr w:type="spellEnd"/>
            <w:r w:rsidRPr="00823CBC">
              <w:rPr>
                <w:b w:val="0"/>
                <w:szCs w:val="28"/>
              </w:rPr>
              <w:t>.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  <w:r w:rsidR="00823CBC">
              <w:rPr>
                <w:b w:val="0"/>
                <w:szCs w:val="28"/>
              </w:rPr>
              <w:t>2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Кризисные коммуникации в сфере финансовой грамотности: как реагировать на всплески финансовых мифов и паники в соцсетях.</w:t>
            </w:r>
          </w:p>
        </w:tc>
      </w:tr>
      <w:tr w:rsidR="00494CB8" w:rsidRPr="00823CBC">
        <w:trPr>
          <w:trHeight w:val="33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  <w:r w:rsidR="00823CBC">
              <w:rPr>
                <w:b w:val="0"/>
                <w:szCs w:val="28"/>
              </w:rPr>
              <w:t>3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Формирование финансовой культуры через мультимедийные спецпроекты.</w:t>
            </w:r>
          </w:p>
        </w:tc>
      </w:tr>
      <w:tr w:rsidR="00494CB8" w:rsidRPr="00823CBC">
        <w:trPr>
          <w:trHeight w:val="33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  <w:r w:rsidR="00823CBC">
              <w:rPr>
                <w:b w:val="0"/>
                <w:szCs w:val="28"/>
              </w:rPr>
              <w:t>4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Геймификация в медиа-стратегиях повышения финансовой грамотности.</w:t>
            </w:r>
          </w:p>
        </w:tc>
      </w:tr>
      <w:tr w:rsidR="00494CB8" w:rsidRPr="00823CBC">
        <w:trPr>
          <w:trHeight w:val="33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  <w:r w:rsidR="00823CBC">
              <w:rPr>
                <w:b w:val="0"/>
                <w:szCs w:val="28"/>
              </w:rPr>
              <w:t>5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Геймификация как инструмент повышения финансовой грамотности.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1</w:t>
            </w:r>
            <w:r w:rsidR="00823CBC">
              <w:rPr>
                <w:b w:val="0"/>
                <w:szCs w:val="28"/>
              </w:rPr>
              <w:t>6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Инфографика для финансовой грамотности: принципы проектирования и тестирование восприятия.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17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Стратегия оптимизации контента по финансовой грамотности для соцсетей в условиях "информационного шума".</w:t>
            </w:r>
          </w:p>
        </w:tc>
      </w:tr>
      <w:tr w:rsidR="00494CB8" w:rsidRPr="00823CBC">
        <w:trPr>
          <w:trHeight w:val="6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823CBC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18</w:t>
            </w:r>
          </w:p>
        </w:tc>
        <w:tc>
          <w:tcPr>
            <w:tcW w:w="9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Деятельность экспертных и консультационных центров по встраиванию установок и ценностей в массовый контент: международный опыт.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>от Торгово-промышленной палаты Российской Федерации («ТПП РФ»)</w:t>
      </w:r>
    </w:p>
    <w:tbl>
      <w:tblPr>
        <w:tblStyle w:val="TableGrid"/>
        <w:tblW w:w="9747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959"/>
        <w:gridCol w:w="8788"/>
      </w:tblGrid>
      <w:tr w:rsidR="00494CB8" w:rsidRPr="00823CBC">
        <w:trPr>
          <w:trHeight w:val="3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Развитие социальной ответственности бизнеса как фактора повышения конкурентоспособности российских компаний.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Формирование системы мер по развитию промышленного туризма как фактора повышения инвестиционной привлекательности регионов.</w:t>
            </w:r>
          </w:p>
        </w:tc>
      </w:tr>
      <w:tr w:rsidR="00494CB8" w:rsidRPr="00823CBC">
        <w:trPr>
          <w:trHeight w:val="9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823CBC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lastRenderedPageBreak/>
              <w:t>3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Разработка методики оценки эффективности региональных мер поддержки малого и среднего предпринимательства с учетом обратной связи от бизнес-сообщества.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>от Федеральной службы государственной статистики (Росстат)</w:t>
      </w:r>
    </w:p>
    <w:p w:rsidR="00494CB8" w:rsidRPr="00823CBC" w:rsidRDefault="00494CB8" w:rsidP="00823CBC">
      <w:pPr>
        <w:spacing w:after="0" w:line="240" w:lineRule="auto"/>
        <w:ind w:left="0" w:firstLine="0"/>
        <w:rPr>
          <w:szCs w:val="28"/>
        </w:rPr>
      </w:pPr>
    </w:p>
    <w:tbl>
      <w:tblPr>
        <w:tblStyle w:val="TableGrid"/>
        <w:tblW w:w="9747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959"/>
        <w:gridCol w:w="8788"/>
      </w:tblGrid>
      <w:tr w:rsidR="00494CB8" w:rsidRPr="00823CBC">
        <w:trPr>
          <w:trHeight w:val="3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>
        <w:trPr>
          <w:trHeight w:val="9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6476F4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Итоги Всероссийских переписей населения как инструмент при планировании бизнес-процессов на муниципальном и региональном уровне.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6476F4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Использование больших данных (</w:t>
            </w:r>
            <w:proofErr w:type="spellStart"/>
            <w:r w:rsidRPr="00823CBC">
              <w:rPr>
                <w:b w:val="0"/>
                <w:szCs w:val="28"/>
              </w:rPr>
              <w:t>Big</w:t>
            </w:r>
            <w:proofErr w:type="spellEnd"/>
            <w:r w:rsidRPr="00823CBC">
              <w:rPr>
                <w:b w:val="0"/>
                <w:szCs w:val="28"/>
              </w:rPr>
              <w:t xml:space="preserve"> </w:t>
            </w:r>
            <w:proofErr w:type="spellStart"/>
            <w:r w:rsidRPr="00823CBC">
              <w:rPr>
                <w:b w:val="0"/>
                <w:szCs w:val="28"/>
              </w:rPr>
              <w:t>Data</w:t>
            </w:r>
            <w:proofErr w:type="spellEnd"/>
            <w:r w:rsidRPr="00823CBC">
              <w:rPr>
                <w:b w:val="0"/>
                <w:szCs w:val="28"/>
              </w:rPr>
              <w:t>) и искусственного интеллекта (ИИ) при проведении переписей населения.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6476F4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3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Статистический анализ динамики уровня и профиля бедности в Российской Федерации.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6476F4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4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Влияние социальных программ на повышение уровня жизни малообеспеченных слоев населения.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6476F4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5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Статистический анализ распределения доходов и его влияние на уровень жизни населения.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6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Статистические метаданные как инструмент повышения качества и сопоставимости официальной статистической информации.</w:t>
            </w:r>
          </w:p>
        </w:tc>
      </w:tr>
      <w:tr w:rsidR="00494CB8" w:rsidRPr="00823CBC">
        <w:trPr>
          <w:trHeight w:val="65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7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Современные инструменты и методологии анализа большого массива данных.</w:t>
            </w:r>
          </w:p>
        </w:tc>
      </w:tr>
      <w:tr w:rsidR="00494CB8" w:rsidRPr="00823CBC">
        <w:trPr>
          <w:trHeight w:val="9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8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Методология статистической оценки использования искусственного интеллекта населением: международный опыт и перспективы внедрения в обследования Росстата.</w:t>
            </w:r>
          </w:p>
        </w:tc>
      </w:tr>
      <w:tr w:rsidR="00494CB8" w:rsidRPr="00823CBC">
        <w:trPr>
          <w:trHeight w:val="9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9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Привлечение лидеров общественного мнения как инструмент коммуникации государственного ведомства при проведении значимых статистических наблюдений.</w:t>
            </w:r>
          </w:p>
        </w:tc>
      </w:tr>
      <w:tr w:rsidR="00494CB8" w:rsidRPr="00823CBC">
        <w:trPr>
          <w:trHeight w:val="3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10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Статистический анализ развития креативной экономики.</w:t>
            </w:r>
          </w:p>
        </w:tc>
      </w:tr>
      <w:tr w:rsidR="00494CB8" w:rsidRPr="00823CBC">
        <w:trPr>
          <w:trHeight w:val="3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6476F4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11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Анализ развития цифровой экономики Российской Федерации.</w:t>
            </w:r>
          </w:p>
        </w:tc>
      </w:tr>
    </w:tbl>
    <w:p w:rsid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 xml:space="preserve">от Министерства экономического развития Российской Федерации </w:t>
      </w:r>
    </w:p>
    <w:p w:rsidR="00494CB8" w:rsidRPr="00823CBC" w:rsidRDefault="00584A17" w:rsidP="00823CBC">
      <w:pPr>
        <w:spacing w:after="0" w:line="240" w:lineRule="auto"/>
        <w:ind w:left="0"/>
        <w:jc w:val="center"/>
        <w:rPr>
          <w:szCs w:val="28"/>
        </w:rPr>
      </w:pPr>
      <w:r w:rsidRPr="00823CBC">
        <w:rPr>
          <w:szCs w:val="28"/>
        </w:rPr>
        <w:t>(Минэкономразвития России)</w:t>
      </w:r>
    </w:p>
    <w:tbl>
      <w:tblPr>
        <w:tblStyle w:val="TableGrid"/>
        <w:tblW w:w="10147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988"/>
        <w:gridCol w:w="9159"/>
      </w:tblGrid>
      <w:tr w:rsidR="00494CB8" w:rsidRPr="00823CBC">
        <w:trPr>
          <w:trHeight w:val="37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>
        <w:trPr>
          <w:trHeight w:val="6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0140E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Влияние систем монетизации на потребительское поведение и долгосрочную лояльность аудитории в видеоиграх.</w:t>
            </w:r>
          </w:p>
        </w:tc>
      </w:tr>
      <w:tr w:rsidR="00494CB8" w:rsidRPr="00823CBC">
        <w:trPr>
          <w:trHeight w:val="129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0140E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Реализация национального проекта «Семья» как инструмент повышения уровня жизни в федеральных округах Российской Федерации: анализ и направления совершенствования (на примере Дальневосточного федерального округа).</w:t>
            </w:r>
          </w:p>
        </w:tc>
      </w:tr>
    </w:tbl>
    <w:p w:rsidR="00823CBC" w:rsidRPr="00823CBC" w:rsidRDefault="00823CBC" w:rsidP="00823CBC">
      <w:pPr>
        <w:spacing w:after="0" w:line="240" w:lineRule="auto"/>
        <w:ind w:left="0" w:firstLine="0"/>
        <w:rPr>
          <w:szCs w:val="28"/>
        </w:rPr>
      </w:pPr>
    </w:p>
    <w:p w:rsidR="00494CB8" w:rsidRPr="00823CBC" w:rsidRDefault="00584A17" w:rsidP="00823CBC">
      <w:pPr>
        <w:numPr>
          <w:ilvl w:val="0"/>
          <w:numId w:val="1"/>
        </w:numPr>
        <w:spacing w:after="0" w:line="240" w:lineRule="auto"/>
        <w:ind w:left="0" w:hanging="430"/>
        <w:rPr>
          <w:szCs w:val="28"/>
        </w:rPr>
      </w:pPr>
      <w:r w:rsidRPr="00823CBC">
        <w:rPr>
          <w:szCs w:val="28"/>
        </w:rPr>
        <w:t>от Министерства финансов Российской Федерации</w:t>
      </w:r>
    </w:p>
    <w:tbl>
      <w:tblPr>
        <w:tblStyle w:val="TableGrid"/>
        <w:tblW w:w="9910" w:type="dxa"/>
        <w:tblInd w:w="-80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499"/>
        <w:gridCol w:w="9411"/>
      </w:tblGrid>
      <w:tr w:rsidR="00494CB8" w:rsidRPr="00823CBC">
        <w:trPr>
          <w:trHeight w:val="55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szCs w:val="28"/>
              </w:rPr>
              <w:t>№</w:t>
            </w:r>
          </w:p>
        </w:tc>
        <w:tc>
          <w:tcPr>
            <w:tcW w:w="9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center"/>
              <w:rPr>
                <w:szCs w:val="28"/>
              </w:rPr>
            </w:pPr>
            <w:r w:rsidRPr="00823CBC">
              <w:rPr>
                <w:szCs w:val="28"/>
              </w:rPr>
              <w:t>Тема выпускной квалификационной работы</w:t>
            </w:r>
          </w:p>
        </w:tc>
      </w:tr>
      <w:tr w:rsidR="00494CB8" w:rsidRPr="00823CBC">
        <w:trPr>
          <w:trHeight w:val="65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0140E" w:rsidP="00823CBC">
            <w:pPr>
              <w:spacing w:after="0"/>
              <w:ind w:left="0" w:firstLine="0"/>
              <w:rPr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9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Страхование жизни как инструмент формирования долгосрочных сбережений граждан и источник длинных денег в экономике.</w:t>
            </w:r>
          </w:p>
        </w:tc>
      </w:tr>
      <w:tr w:rsidR="00494CB8" w:rsidRPr="00823CBC">
        <w:trPr>
          <w:trHeight w:val="64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0140E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9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 xml:space="preserve">Вызовы и приоритеты пространственного развития Российской Федерации. </w:t>
            </w:r>
          </w:p>
        </w:tc>
      </w:tr>
      <w:tr w:rsidR="00494CB8" w:rsidRPr="00823CBC">
        <w:trPr>
          <w:trHeight w:val="64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0140E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3</w:t>
            </w:r>
          </w:p>
        </w:tc>
        <w:tc>
          <w:tcPr>
            <w:tcW w:w="9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Проблемы рынка труда в условиях дефицита кадров и меры поддержки.</w:t>
            </w:r>
          </w:p>
        </w:tc>
      </w:tr>
      <w:tr w:rsidR="00494CB8" w:rsidRPr="00823CBC">
        <w:trPr>
          <w:trHeight w:val="64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0140E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4</w:t>
            </w:r>
          </w:p>
        </w:tc>
        <w:tc>
          <w:tcPr>
            <w:tcW w:w="9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Влияние трудовой гарантии на рынок труда и экономику в целом.</w:t>
            </w:r>
          </w:p>
        </w:tc>
      </w:tr>
      <w:tr w:rsidR="00494CB8" w:rsidRPr="00823CBC">
        <w:trPr>
          <w:trHeight w:val="65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0140E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5</w:t>
            </w:r>
          </w:p>
        </w:tc>
        <w:tc>
          <w:tcPr>
            <w:tcW w:w="9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Проблема дефицита кадров в ключевых отраслях экономики через призму прогноза потребности экономики в кадрах.</w:t>
            </w:r>
          </w:p>
        </w:tc>
      </w:tr>
      <w:tr w:rsidR="00494CB8" w:rsidRPr="00823CBC">
        <w:trPr>
          <w:trHeight w:val="65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0140E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6</w:t>
            </w:r>
          </w:p>
        </w:tc>
        <w:tc>
          <w:tcPr>
            <w:tcW w:w="9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Влияние реализации мер государственной поддержки на уровень теневой занятости.</w:t>
            </w:r>
          </w:p>
        </w:tc>
      </w:tr>
      <w:tr w:rsidR="00494CB8" w:rsidRPr="00823CBC">
        <w:trPr>
          <w:trHeight w:val="65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0140E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7</w:t>
            </w:r>
          </w:p>
        </w:tc>
        <w:tc>
          <w:tcPr>
            <w:tcW w:w="9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Факторы вовлечения выпускников с высшим и средним профессиональным образованием в трудоустройство по специальности.</w:t>
            </w:r>
          </w:p>
        </w:tc>
      </w:tr>
      <w:tr w:rsidR="00494CB8" w:rsidRPr="00823CBC">
        <w:trPr>
          <w:trHeight w:val="976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CB8" w:rsidRPr="00823CBC" w:rsidRDefault="0050140E" w:rsidP="00823CBC">
            <w:pPr>
              <w:spacing w:after="0"/>
              <w:ind w:left="0" w:firstLine="0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>8</w:t>
            </w:r>
          </w:p>
        </w:tc>
        <w:tc>
          <w:tcPr>
            <w:tcW w:w="9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CB8" w:rsidRPr="00823CBC" w:rsidRDefault="00584A17" w:rsidP="00823CBC">
            <w:pPr>
              <w:spacing w:after="0"/>
              <w:ind w:left="0" w:firstLine="0"/>
              <w:rPr>
                <w:szCs w:val="28"/>
              </w:rPr>
            </w:pPr>
            <w:r w:rsidRPr="00823CBC">
              <w:rPr>
                <w:b w:val="0"/>
                <w:szCs w:val="28"/>
              </w:rPr>
              <w:t>Долгосрочные сбережения населения в Российской Федерации: детерминанты спроса и механизмы трансформации в инвестиционный ресурс.</w:t>
            </w:r>
            <w:r w:rsidR="00E97FFD">
              <w:rPr>
                <w:b w:val="0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584A17" w:rsidRPr="00823CBC" w:rsidRDefault="00584A17" w:rsidP="00823CBC">
      <w:pPr>
        <w:spacing w:after="0" w:line="240" w:lineRule="auto"/>
        <w:ind w:left="0"/>
        <w:rPr>
          <w:szCs w:val="28"/>
        </w:rPr>
      </w:pPr>
    </w:p>
    <w:sectPr w:rsidR="00584A17" w:rsidRPr="00823CBC">
      <w:headerReference w:type="even" r:id="rId7"/>
      <w:headerReference w:type="default" r:id="rId8"/>
      <w:headerReference w:type="first" r:id="rId9"/>
      <w:pgSz w:w="11906" w:h="16838"/>
      <w:pgMar w:top="1052" w:right="540" w:bottom="1005" w:left="223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3D4" w:rsidRDefault="001E43D4">
      <w:pPr>
        <w:spacing w:after="0" w:line="240" w:lineRule="auto"/>
      </w:pPr>
      <w:r>
        <w:separator/>
      </w:r>
    </w:p>
  </w:endnote>
  <w:endnote w:type="continuationSeparator" w:id="0">
    <w:p w:rsidR="001E43D4" w:rsidRDefault="001E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3D4" w:rsidRDefault="001E43D4">
      <w:pPr>
        <w:spacing w:after="0" w:line="240" w:lineRule="auto"/>
      </w:pPr>
      <w:r>
        <w:separator/>
      </w:r>
    </w:p>
  </w:footnote>
  <w:footnote w:type="continuationSeparator" w:id="0">
    <w:p w:rsidR="001E43D4" w:rsidRDefault="001E4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ADA" w:rsidRDefault="006C0ADA">
    <w:pPr>
      <w:spacing w:after="0"/>
      <w:ind w:left="0" w:right="84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4"/>
      </w:rPr>
      <w:t>2</w:t>
    </w:r>
    <w:r>
      <w:rPr>
        <w:b w:val="0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ADA" w:rsidRDefault="006C0ADA">
    <w:pPr>
      <w:spacing w:after="0"/>
      <w:ind w:left="0" w:right="84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25622D">
      <w:rPr>
        <w:b w:val="0"/>
        <w:noProof/>
        <w:sz w:val="24"/>
      </w:rPr>
      <w:t>12</w:t>
    </w:r>
    <w:r>
      <w:rPr>
        <w:b w:val="0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ADA" w:rsidRDefault="006C0ADA">
    <w:pPr>
      <w:spacing w:after="160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02687"/>
    <w:multiLevelType w:val="hybridMultilevel"/>
    <w:tmpl w:val="92985A50"/>
    <w:lvl w:ilvl="0" w:tplc="313AD32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8697D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84D6E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2C53B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5E3A3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34F5D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70291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4A117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644A8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F75569"/>
    <w:multiLevelType w:val="hybridMultilevel"/>
    <w:tmpl w:val="AD2848F6"/>
    <w:lvl w:ilvl="0" w:tplc="7D90A028">
      <w:start w:val="1"/>
      <w:numFmt w:val="decimal"/>
      <w:lvlText w:val="%1."/>
      <w:lvlJc w:val="left"/>
      <w:pPr>
        <w:ind w:left="8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D2C050">
      <w:start w:val="1"/>
      <w:numFmt w:val="lowerLetter"/>
      <w:lvlText w:val="%2"/>
      <w:lvlJc w:val="left"/>
      <w:pPr>
        <w:ind w:left="1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EE351E">
      <w:start w:val="1"/>
      <w:numFmt w:val="lowerRoman"/>
      <w:lvlText w:val="%3"/>
      <w:lvlJc w:val="left"/>
      <w:pPr>
        <w:ind w:left="2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24B0DA">
      <w:start w:val="1"/>
      <w:numFmt w:val="decimal"/>
      <w:lvlText w:val="%4"/>
      <w:lvlJc w:val="left"/>
      <w:pPr>
        <w:ind w:left="29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7098B4">
      <w:start w:val="1"/>
      <w:numFmt w:val="lowerLetter"/>
      <w:lvlText w:val="%5"/>
      <w:lvlJc w:val="left"/>
      <w:pPr>
        <w:ind w:left="3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5C1984">
      <w:start w:val="1"/>
      <w:numFmt w:val="lowerRoman"/>
      <w:lvlText w:val="%6"/>
      <w:lvlJc w:val="left"/>
      <w:pPr>
        <w:ind w:left="44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E8B148">
      <w:start w:val="1"/>
      <w:numFmt w:val="decimal"/>
      <w:lvlText w:val="%7"/>
      <w:lvlJc w:val="left"/>
      <w:pPr>
        <w:ind w:left="51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B03602">
      <w:start w:val="1"/>
      <w:numFmt w:val="lowerLetter"/>
      <w:lvlText w:val="%8"/>
      <w:lvlJc w:val="left"/>
      <w:pPr>
        <w:ind w:left="58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9C4C80">
      <w:start w:val="1"/>
      <w:numFmt w:val="lowerRoman"/>
      <w:lvlText w:val="%9"/>
      <w:lvlJc w:val="left"/>
      <w:pPr>
        <w:ind w:left="65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CB8"/>
    <w:rsid w:val="001926DD"/>
    <w:rsid w:val="001E43D4"/>
    <w:rsid w:val="0025622D"/>
    <w:rsid w:val="002C7978"/>
    <w:rsid w:val="004371DA"/>
    <w:rsid w:val="00494CB8"/>
    <w:rsid w:val="004E7DA1"/>
    <w:rsid w:val="0050140E"/>
    <w:rsid w:val="00537A39"/>
    <w:rsid w:val="00584A17"/>
    <w:rsid w:val="005F6306"/>
    <w:rsid w:val="00636693"/>
    <w:rsid w:val="006476F4"/>
    <w:rsid w:val="006C0ADA"/>
    <w:rsid w:val="00823CBC"/>
    <w:rsid w:val="00992619"/>
    <w:rsid w:val="009D1DD1"/>
    <w:rsid w:val="00A22FBA"/>
    <w:rsid w:val="00D30662"/>
    <w:rsid w:val="00E97792"/>
    <w:rsid w:val="00E97FFD"/>
    <w:rsid w:val="00EA729B"/>
    <w:rsid w:val="00EE31D9"/>
    <w:rsid w:val="00F33F03"/>
    <w:rsid w:val="00FB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9804A"/>
  <w15:docId w15:val="{4D8BD923-02D4-4E3D-8ACD-6F485CC0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"/>
      <w:ind w:left="1665" w:hanging="1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1656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Шалаев</dc:creator>
  <cp:keywords/>
  <cp:lastModifiedBy>Кулешов Сергей Михайлович</cp:lastModifiedBy>
  <cp:revision>23</cp:revision>
  <dcterms:created xsi:type="dcterms:W3CDTF">2026-09-22T10:18:00Z</dcterms:created>
  <dcterms:modified xsi:type="dcterms:W3CDTF">2026-09-22T12:28:00Z</dcterms:modified>
</cp:coreProperties>
</file>