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</w:t>
      </w:r>
      <w:r w:rsidR="001D6402">
        <w:rPr>
          <w:b/>
          <w:bCs/>
          <w:sz w:val="24"/>
          <w:szCs w:val="24"/>
        </w:rPr>
        <w:t>2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="00155C58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</w:t>
      </w:r>
      <w:bookmarkStart w:id="0" w:name="_GoBack"/>
      <w:bookmarkEnd w:id="0"/>
      <w:r w:rsidR="00155C58" w:rsidRPr="00564D5E">
        <w:rPr>
          <w:sz w:val="24"/>
          <w:szCs w:val="24"/>
        </w:rPr>
        <w:t xml:space="preserve"> 21.06.2022 г. № 3729</w:t>
      </w:r>
      <w:r w:rsidR="00155C58" w:rsidRPr="003167D0">
        <w:rPr>
          <w:sz w:val="24"/>
          <w:szCs w:val="24"/>
        </w:rPr>
        <w:t>, в лице проректора по маркетингу и работе с абитуриентами</w:t>
      </w:r>
      <w:r w:rsidR="00155C58">
        <w:rPr>
          <w:sz w:val="24"/>
          <w:szCs w:val="24"/>
        </w:rPr>
        <w:t xml:space="preserve"> Брюховецкой Светланы Владимировны</w:t>
      </w:r>
      <w:r w:rsidR="00155C58" w:rsidRPr="003167D0">
        <w:rPr>
          <w:sz w:val="24"/>
          <w:szCs w:val="24"/>
        </w:rPr>
        <w:t xml:space="preserve">, действующего на основании доверенности </w:t>
      </w:r>
      <w:r w:rsidR="00155C58" w:rsidRPr="00564D5E">
        <w:rPr>
          <w:sz w:val="24"/>
          <w:szCs w:val="24"/>
        </w:rPr>
        <w:t>от 1 июля 2022 г. № 247/48</w:t>
      </w:r>
      <w:r w:rsidR="00155C58">
        <w:rPr>
          <w:sz w:val="24"/>
          <w:szCs w:val="24"/>
        </w:rPr>
        <w:t>,</w:t>
      </w:r>
      <w:r w:rsidR="00155C58" w:rsidRPr="003167D0">
        <w:rPr>
          <w:sz w:val="24"/>
          <w:szCs w:val="24"/>
        </w:rPr>
        <w:t xml:space="preserve"> с одной</w:t>
      </w:r>
      <w:r w:rsidR="00155C58"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1D6402">
        <w:rPr>
          <w:sz w:val="24"/>
          <w:szCs w:val="24"/>
        </w:rPr>
        <w:t>7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10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1D6402">
              <w:rPr>
                <w:b/>
                <w:bCs/>
                <w:sz w:val="24"/>
                <w:szCs w:val="24"/>
              </w:rPr>
              <w:t>2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1D6402">
              <w:rPr>
                <w:b/>
                <w:bCs/>
                <w:sz w:val="24"/>
                <w:szCs w:val="24"/>
              </w:rPr>
              <w:t>2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55C58"/>
    <w:rsid w:val="00161B13"/>
    <w:rsid w:val="001726AF"/>
    <w:rsid w:val="00192A58"/>
    <w:rsid w:val="001C0887"/>
    <w:rsid w:val="001D6402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A1844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57FE4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A9D2-F1A1-457B-96F7-D64C2CD66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C6BC0-46BF-4946-8C32-03A44431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D45EF-24A1-4BD4-A346-B6D157CB6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3082B-56B7-4374-831F-A3AF16C0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5818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Сироткина Мария Михайловна</cp:lastModifiedBy>
  <cp:revision>8</cp:revision>
  <cp:lastPrinted>2018-02-01T14:45:00Z</cp:lastPrinted>
  <dcterms:created xsi:type="dcterms:W3CDTF">2021-02-18T09:14:00Z</dcterms:created>
  <dcterms:modified xsi:type="dcterms:W3CDTF">2022-07-25T13:57:00Z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