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 ЖУРНАЛА «ЭКОНОМИКА. НАЛОГИ. ПРАВО» НА 2024 ГОД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color w:val="FF0000"/>
          <w:sz w:val="24"/>
          <w:szCs w:val="24"/>
          <w:shd w:val="clear" w:color="auto" w:fill="FFFFFF"/>
        </w:rPr>
        <w:t>Представление статей — до 1 ноября 2023 г., заявок — до  1 октября 2023 г.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ЭНП 1/2024 «Актуальные социально-экономические проблемы и тенденции развития России и регионов в 2024 году»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1.1. Основные направления единой государственной денежно-кредитной политики на 2024 год.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1.2. Развитие финансового рынка Российской Федерации в современных геополитических условиях.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1.3. Активизации социального ресурса местных сообществ в целях социально-экономического развития российских территорий.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1.4. Повышение финансовой грамотности как фактор финансового благосостояния и финансовой защищенности граждан.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1.5. Управление социально-экономическим развитием и обеспечение национальной безопасности в условиях глобальных рисков.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1.6. Индустриальная политика как инструмент структурной трансформации экономики России.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1.7. Совершенствование кадровой политики на уровне государства и государственных корпораций как базовое условие поступательного развития национальной экономики.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1.8. Формирование и реализация бюджетной политики для обеспечения перехода к опережающему развитию России.</w:t>
      </w:r>
    </w:p>
    <w:p>
      <w:pPr>
        <w:shd w:val="clear" w:color="auto" w:fill="FFFFFF"/>
        <w:spacing w:after="0" w:line="240" w:lineRule="auto"/>
        <w:ind w:firstLine="709"/>
        <w:rPr>
          <w:rFonts w:eastAsia="Times New Roman"/>
          <w:lang w:eastAsia="ru-RU"/>
        </w:rPr>
      </w:pPr>
      <w:r>
        <w:t>1.9.</w:t>
      </w:r>
      <w:r>
        <w:rPr>
          <w:b/>
          <w:bCs/>
        </w:rPr>
        <w:t xml:space="preserve"> </w:t>
      </w:r>
      <w:r>
        <w:rPr>
          <w:rFonts w:eastAsia="Times New Roman"/>
          <w:lang w:eastAsia="ru-RU"/>
        </w:rPr>
        <w:t>Поликризис в современной мировой экономике: проблемы и перспективы адаптации России к новым условиям глобального развития. 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1.10.</w:t>
      </w:r>
      <w:r>
        <w:t xml:space="preserve"> </w:t>
      </w:r>
      <w:r>
        <w:rPr>
          <w:b w:val="0"/>
          <w:bCs w:val="0"/>
          <w:sz w:val="28"/>
          <w:szCs w:val="28"/>
        </w:rPr>
        <w:t>Развитие инновационного потенциала интегрированных промышленных структур.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1.12. Финансовый инструментарий управления капитализацией экосистем.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1.13. </w:t>
      </w:r>
      <w:r>
        <w:rPr>
          <w:rFonts w:eastAsia="Calibri"/>
          <w:b w:val="0"/>
          <w:bCs w:val="0"/>
          <w:sz w:val="28"/>
          <w:szCs w:val="28"/>
        </w:rPr>
        <w:t>Налоговая политика Российской Федерации в контексте целей устойчивого развития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1.14.</w:t>
      </w:r>
      <w:r>
        <w:rPr>
          <w:rFonts w:eastAsia="Calibri"/>
          <w:b w:val="0"/>
          <w:bCs w:val="0"/>
          <w:sz w:val="28"/>
          <w:szCs w:val="28"/>
        </w:rPr>
        <w:t xml:space="preserve"> Соотношения целей действующей налоговой политики России с целями устойчивого развития</w:t>
      </w:r>
    </w:p>
    <w:p>
      <w:pPr>
        <w:spacing w:after="0" w:line="240" w:lineRule="auto"/>
        <w:ind w:firstLine="709"/>
      </w:pPr>
      <w:r>
        <w:t xml:space="preserve"> </w:t>
      </w:r>
      <w:bookmarkStart w:id="0" w:name="_Hlk126584259"/>
      <w:r>
        <w:t>1.1</w:t>
      </w:r>
      <w:bookmarkEnd w:id="0"/>
      <w:r>
        <w:t>5.</w:t>
      </w:r>
      <w:r>
        <w:rPr>
          <w:rFonts w:eastAsia="Calibri"/>
        </w:rPr>
        <w:t xml:space="preserve"> Соотношение фискальной, регулирующей, социальной и экологической функций в налоговой политике России</w:t>
      </w:r>
      <w:r>
        <w:t xml:space="preserve"> </w:t>
      </w:r>
    </w:p>
    <w:p>
      <w:pPr>
        <w:spacing w:after="0" w:line="240" w:lineRule="auto"/>
        <w:ind w:firstLine="709"/>
      </w:pPr>
      <w:r>
        <w:t xml:space="preserve">1.16. </w:t>
      </w:r>
      <w:r>
        <w:rPr>
          <w:rFonts w:eastAsia="Calibri"/>
        </w:rPr>
        <w:t>Поддержка экологической устойчивости городов и населенных пунктов через инструментарий налогообложения.</w:t>
      </w:r>
    </w:p>
    <w:p>
      <w:pPr>
        <w:spacing w:after="0" w:line="240" w:lineRule="auto"/>
        <w:ind w:firstLine="709"/>
        <w:rPr>
          <w:rFonts w:eastAsia="Calibri"/>
        </w:rPr>
      </w:pPr>
      <w:r>
        <w:t xml:space="preserve">1.17. </w:t>
      </w:r>
      <w:r>
        <w:rPr>
          <w:rFonts w:eastAsia="Calibri"/>
        </w:rPr>
        <w:t>Налоговые инструменты обеспечения продовольственной безопасности России.</w:t>
      </w:r>
    </w:p>
    <w:p>
      <w:pPr>
        <w:spacing w:after="0" w:line="240" w:lineRule="auto"/>
        <w:ind w:firstLine="709"/>
        <w:rPr>
          <w:rFonts w:eastAsia="Calibri"/>
        </w:rPr>
      </w:pPr>
      <w:r>
        <w:t xml:space="preserve">1.18. </w:t>
      </w:r>
      <w:r>
        <w:rPr>
          <w:rFonts w:eastAsia="Calibri"/>
        </w:rPr>
        <w:t>Налоговые конструкции стимулирования перехода к рациональным моделям потребления и производства.</w:t>
      </w:r>
    </w:p>
    <w:p>
      <w:pPr>
        <w:spacing w:after="0" w:line="240" w:lineRule="auto"/>
        <w:ind w:firstLine="709"/>
        <w:rPr>
          <w:rFonts w:eastAsia="Calibri"/>
        </w:rPr>
      </w:pPr>
      <w:r>
        <w:t xml:space="preserve">1.19. </w:t>
      </w:r>
      <w:r>
        <w:t>Оценка эффективности налоговых льгот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1.20. Правовая политика и развитие российского законодательства в условиях мобилизации экономики государства.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1.21. Правовое обеспечение тенденций пространственного развития России.</w:t>
      </w:r>
    </w:p>
    <w:p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1.22. Совершенствование финансово-правовых механизмов экономической интеграция для обеспечения национальной безопасности и стабильности.</w:t>
      </w:r>
    </w:p>
    <w:p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>
        <w:rPr>
          <w:rFonts w:eastAsia="Times New Roman"/>
          <w:sz w:val="28"/>
          <w:szCs w:val="28"/>
          <w:lang w:eastAsia="ru-RU"/>
        </w:rPr>
        <w:t>Сравнительно-правовой анализ зарубежной практики социальной защиты государством малоимущих граждан</w:t>
      </w:r>
    </w:p>
    <w:p>
      <w:pPr>
        <w:pStyle w:val="Default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after="0" w:line="240" w:lineRule="auto"/>
        <w:ind w:firstLine="709"/>
        <w:rPr>
          <w:rFonts w:eastAsia="Calibri"/>
        </w:rPr>
      </w:pPr>
      <w:r>
        <w:rPr>
          <w:color w:val="FF0000"/>
          <w:sz w:val="24"/>
          <w:szCs w:val="24"/>
          <w:shd w:val="clear" w:color="auto" w:fill="FFFFFF"/>
        </w:rPr>
        <w:t>Представление статей — до 10 января 2024 г., заявок — до 5 декабря 2023 г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ЭНП 2/2024 «Содействие финансового сектора экономическому росту в условиях  цифровой трансформации экономики»</w:t>
      </w:r>
    </w:p>
    <w:p>
      <w:pPr>
        <w:spacing w:after="0" w:line="240" w:lineRule="auto"/>
        <w:ind w:firstLine="709"/>
      </w:pPr>
      <w:r>
        <w:t>2.1. Эволюция финансового сектора экономики в контексте социально-экономического развития.</w:t>
      </w:r>
    </w:p>
    <w:p>
      <w:pPr>
        <w:spacing w:after="0" w:line="240" w:lineRule="auto"/>
        <w:ind w:firstLine="709"/>
      </w:pPr>
      <w:r>
        <w:t>2.2. Риски финансового развития в части формирования информационного общества.</w:t>
      </w:r>
    </w:p>
    <w:p>
      <w:pPr>
        <w:spacing w:after="0" w:line="240" w:lineRule="auto"/>
        <w:ind w:firstLine="709"/>
      </w:pPr>
      <w:r>
        <w:t>2.3. Влияние финансовых кризисов на финансовое развитие и воспроизводство. Идентификация неколичественных триггеров развертывания процесса финансового кризиса.</w:t>
      </w:r>
    </w:p>
    <w:p>
      <w:pPr>
        <w:spacing w:after="0" w:line="240" w:lineRule="auto"/>
        <w:ind w:firstLine="709"/>
      </w:pPr>
      <w:r>
        <w:t>2.4. Повышение национальной конкурентоспособности на уровне государств и хозяйствующих субъектов РФ на основе выявленных детерминантов развития мировой экономики в ХХI веке</w:t>
      </w:r>
    </w:p>
    <w:p>
      <w:pPr>
        <w:spacing w:after="0" w:line="240" w:lineRule="auto"/>
        <w:ind w:firstLine="709"/>
      </w:pPr>
      <w:r>
        <w:t>2.5. Теоретические и методологические подходы к оценке пространственного распределения экономических ресурсов.</w:t>
      </w:r>
    </w:p>
    <w:p>
      <w:pPr>
        <w:spacing w:after="0" w:line="240" w:lineRule="auto"/>
        <w:ind w:firstLine="709"/>
      </w:pPr>
      <w:r>
        <w:t>2.6. Приоритеты и сценарии пространственного распределения экономических ресурсов России на долгосрочную перспективу.</w:t>
      </w:r>
    </w:p>
    <w:p>
      <w:pPr>
        <w:spacing w:after="0" w:line="240" w:lineRule="auto"/>
        <w:ind w:firstLine="709"/>
      </w:pPr>
      <w:r>
        <w:t>2.7. Потребительское поведение отдельных групп населения с использованием нейротехнологий в целях обеспечения социальной этики и защиты социальных прав различных категорий населения.</w:t>
      </w:r>
    </w:p>
    <w:p>
      <w:pPr>
        <w:spacing w:after="0" w:line="240" w:lineRule="auto"/>
        <w:ind w:firstLine="709"/>
      </w:pPr>
      <w:r>
        <w:t>2.8. Обеспечение конкурентного доступа субъектов хозяйствования к банковским услугам;</w:t>
      </w:r>
    </w:p>
    <w:p>
      <w:pPr>
        <w:spacing w:after="0" w:line="240" w:lineRule="auto"/>
        <w:ind w:firstLine="709"/>
      </w:pPr>
      <w:r>
        <w:t>2.9. Совершенствование монетарной политики на современном этапе развития экономики России как важный фактор повышения благосостояния населения, стимулирования экономического роста.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2.10. Формирование и развитие инновационных экосистем мезоуровня в условиях цифровой экономики.</w:t>
      </w:r>
    </w:p>
    <w:p>
      <w:pPr>
        <w:spacing w:after="0" w:line="240" w:lineRule="auto"/>
        <w:ind w:firstLine="709"/>
      </w:pPr>
      <w:r>
        <w:t>2.11. Особенности формирования опциональной метавселенной со встроенным механизмом обращения цифровых валют.</w:t>
      </w:r>
    </w:p>
    <w:p>
      <w:pPr>
        <w:spacing w:after="0" w:line="240" w:lineRule="auto"/>
        <w:ind w:firstLine="709"/>
      </w:pPr>
      <w:r>
        <w:t>2.12. Концепция цифровизации национальной валюты в векторе смены экономического уклада.</w:t>
      </w:r>
    </w:p>
    <w:p>
      <w:pPr>
        <w:spacing w:after="0" w:line="240" w:lineRule="auto"/>
        <w:ind w:firstLine="709"/>
      </w:pPr>
      <w:r>
        <w:t>2.13. Финансовый маркетплейс: теоретические и практические основы функционирования в России и за рубежом.</w:t>
      </w:r>
    </w:p>
    <w:p>
      <w:pPr>
        <w:spacing w:after="0" w:line="240" w:lineRule="auto"/>
        <w:ind w:firstLine="709"/>
        <w:jc w:val="both"/>
      </w:pPr>
      <w:r>
        <w:t>2.14. Экосистемы: эволюция финансовых бизнес-моделей в условиях цифровизации</w:t>
      </w:r>
    </w:p>
    <w:p>
      <w:pPr>
        <w:spacing w:after="0" w:line="240" w:lineRule="auto"/>
        <w:ind w:firstLine="708"/>
      </w:pPr>
      <w:r>
        <w:rPr>
          <w:color w:val="FF0000"/>
        </w:rPr>
        <w:lastRenderedPageBreak/>
        <w:t xml:space="preserve"> </w:t>
      </w:r>
      <w:r>
        <w:t>2.15.</w:t>
      </w:r>
      <w:r>
        <w:rPr>
          <w:rFonts w:eastAsia="Calibri"/>
        </w:rPr>
        <w:t xml:space="preserve"> Налоговые катализаторы создания инновационной инфраструктуры и обеспечения устойчивой индустриализации.</w:t>
      </w:r>
    </w:p>
    <w:p>
      <w:pPr>
        <w:spacing w:after="0" w:line="240" w:lineRule="auto"/>
        <w:ind w:firstLine="709"/>
      </w:pPr>
      <w:r>
        <w:t xml:space="preserve"> 2.16. Современность и перспективы влияния налоговых</w:t>
      </w:r>
      <w:r>
        <w:rPr>
          <w:lang w:val="uk-UA"/>
        </w:rPr>
        <w:t xml:space="preserve"> систем</w:t>
      </w:r>
      <w:r>
        <w:t xml:space="preserve"> на развитие трансформационных процессов. </w:t>
      </w:r>
    </w:p>
    <w:p>
      <w:pPr>
        <w:spacing w:after="0" w:line="240" w:lineRule="auto"/>
        <w:ind w:firstLine="709"/>
      </w:pPr>
      <w:r>
        <w:t xml:space="preserve"> 2.17. Налоговая система в условиях современных трансформаций:</w:t>
      </w:r>
    </w:p>
    <w:p>
      <w:pPr>
        <w:spacing w:after="0" w:line="240" w:lineRule="auto"/>
        <w:ind w:firstLine="709"/>
      </w:pPr>
      <w:r>
        <w:t xml:space="preserve"> 2.18. Информационные технологии и модели планирования и контроля уплаты налоговых платежей в условиях современных трансформаций.</w:t>
      </w:r>
    </w:p>
    <w:p>
      <w:pPr>
        <w:spacing w:after="0" w:line="240" w:lineRule="auto"/>
        <w:ind w:firstLine="709"/>
      </w:pPr>
      <w:r>
        <w:t xml:space="preserve">2.19. </w:t>
      </w:r>
      <w:r>
        <w:t>Налоговые инструменты развития финансового рынка</w:t>
      </w:r>
      <w:r>
        <w:t>.</w:t>
      </w:r>
    </w:p>
    <w:p>
      <w:pPr>
        <w:spacing w:after="0" w:line="240" w:lineRule="auto"/>
        <w:ind w:firstLine="709"/>
      </w:pPr>
      <w:r>
        <w:t xml:space="preserve">2.20. Правовое обеспечение цифровизации финансового сектора </w:t>
      </w:r>
      <w:r>
        <w:rPr>
          <w:bCs/>
          <w:shd w:val="clear" w:color="auto" w:fill="FFFFFF"/>
        </w:rPr>
        <w:t>эк</w:t>
      </w:r>
      <w:r>
        <w:t>ономики.</w:t>
      </w:r>
    </w:p>
    <w:p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2.21. Правовое регулирование обеспечения безопасности информационно-телекоммуникационной инфраструктуры России. </w:t>
      </w:r>
    </w:p>
    <w:p>
      <w:pPr>
        <w:autoSpaceDE w:val="0"/>
        <w:autoSpaceDN w:val="0"/>
        <w:adjustRightInd w:val="0"/>
        <w:spacing w:after="0" w:line="240" w:lineRule="auto"/>
        <w:ind w:firstLine="709"/>
      </w:pPr>
      <w:r>
        <w:t>2.22. Правовое обеспечение законных прав и интересов граждан РФ при использовании информационных технологий.</w:t>
      </w:r>
    </w:p>
    <w:p>
      <w:pPr>
        <w:autoSpaceDE w:val="0"/>
        <w:autoSpaceDN w:val="0"/>
        <w:adjustRightInd w:val="0"/>
        <w:spacing w:after="0" w:line="240" w:lineRule="auto"/>
        <w:ind w:firstLine="709"/>
      </w:pPr>
      <w:r>
        <w:t>2.23. Совершенствованию нормативной правовой базы в сфере использования и защиты интеллектуальных прав в цифровой среде.</w:t>
      </w:r>
    </w:p>
    <w:p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2.24. </w:t>
      </w:r>
      <w:r>
        <w:rPr>
          <w:rFonts w:eastAsia="Times New Roman"/>
          <w:color w:val="000000"/>
          <w:lang w:eastAsia="ru-RU"/>
        </w:rPr>
        <w:t>Правовое регулирование деятельности судебно-экспертных учреждений в зарубежных странах </w:t>
      </w:r>
    </w:p>
    <w:p>
      <w:pPr>
        <w:spacing w:after="0" w:line="240" w:lineRule="auto"/>
        <w:ind w:firstLine="709"/>
        <w:rPr>
          <w:color w:val="FF0000"/>
        </w:rPr>
      </w:pPr>
    </w:p>
    <w:p>
      <w:pPr>
        <w:spacing w:after="0" w:line="240" w:lineRule="auto"/>
        <w:ind w:firstLine="709"/>
        <w:rPr>
          <w:rFonts w:eastAsia="Times New Roman"/>
          <w:color w:val="333333"/>
          <w:sz w:val="24"/>
          <w:szCs w:val="24"/>
          <w:lang w:eastAsia="ru-RU"/>
        </w:rPr>
      </w:pPr>
      <w:r>
        <w:rPr>
          <w:color w:val="FF0000"/>
          <w:sz w:val="24"/>
          <w:szCs w:val="24"/>
          <w:shd w:val="clear" w:color="auto" w:fill="FFFFFF"/>
        </w:rPr>
        <w:t>Представление статей — до 10 марта 2024 г., заявок — до 5 февраля 2024 г.</w:t>
      </w:r>
    </w:p>
    <w:p>
      <w:pPr>
        <w:spacing w:after="0" w:line="240" w:lineRule="auto"/>
        <w:ind w:firstLine="709"/>
        <w:rPr>
          <w:b/>
          <w:bCs/>
          <w:color w:val="464C55"/>
          <w:shd w:val="clear" w:color="auto" w:fill="FFFFFF"/>
        </w:rPr>
      </w:pPr>
      <w:r>
        <w:rPr>
          <w:b/>
          <w:bCs/>
          <w:color w:val="464C55"/>
          <w:shd w:val="clear" w:color="auto" w:fill="FFFFFF"/>
        </w:rPr>
        <w:t>ЭНП 3/2024 «Механизмы и ресурсное обеспечение достижения национальных целей экономического развития России»</w:t>
      </w:r>
    </w:p>
    <w:p>
      <w:pPr>
        <w:spacing w:after="0" w:line="240" w:lineRule="auto"/>
        <w:ind w:firstLine="709"/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t>3.1. Повышение производительности труда и поддержка занятости.</w:t>
      </w:r>
    </w:p>
    <w:p>
      <w:pPr>
        <w:spacing w:after="0" w:line="240" w:lineRule="auto"/>
        <w:ind w:firstLine="709"/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t>3.3. 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преференций.</w:t>
      </w:r>
    </w:p>
    <w:p>
      <w:pPr>
        <w:spacing w:after="0" w:line="240" w:lineRule="auto"/>
        <w:ind w:firstLine="709"/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t>3.4. Создание конкурентоспособной </w:t>
      </w:r>
      <w:hyperlink r:id="rId5" w:anchor="block_1000" w:history="1">
        <w:r>
          <w:rPr>
            <w:rStyle w:val="a3"/>
            <w:color w:val="3272C0"/>
            <w:u w:val="none"/>
            <w:shd w:val="clear" w:color="auto" w:fill="FFFFFF"/>
          </w:rPr>
          <w:t>инфраструктуры</w:t>
        </w:r>
      </w:hyperlink>
      <w:r>
        <w:rPr>
          <w:color w:val="464C55"/>
          <w:shd w:val="clear" w:color="auto" w:fill="FFFFFF"/>
        </w:rPr>
        <w:t> передачи, обработки и хранения данных преимущественно на основе отечественных разработок.</w:t>
      </w:r>
    </w:p>
    <w:p>
      <w:pPr>
        <w:spacing w:after="0" w:line="240" w:lineRule="auto"/>
        <w:ind w:firstLine="709"/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t>3.5.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предпринимателей. </w:t>
      </w:r>
    </w:p>
    <w:p>
      <w:pPr>
        <w:spacing w:after="0" w:line="240" w:lineRule="auto"/>
        <w:ind w:firstLine="709"/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t>3.6. 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решений.</w:t>
      </w:r>
    </w:p>
    <w:p>
      <w:pPr>
        <w:spacing w:after="0" w:line="240" w:lineRule="auto"/>
        <w:ind w:firstLine="709"/>
      </w:pPr>
      <w:r>
        <w:t>3.7. Совершенствование антикоррупционного законодательства и ужесточение контроля за его исполнением; расширение и уточнение сферы внутреннего и внешнего контроля и надзора, использование внутренних механизмов и стимулов, существующих в самом аппарате управления государственного органа.</w:t>
      </w:r>
    </w:p>
    <w:p>
      <w:pPr>
        <w:spacing w:after="0" w:line="240" w:lineRule="auto"/>
        <w:ind w:firstLine="709"/>
      </w:pPr>
      <w:r>
        <w:lastRenderedPageBreak/>
        <w:t>3.8. Установление уровня взаимосвязи между повышением качества жизни и темпами достижения Целей национального развития.</w:t>
      </w:r>
    </w:p>
    <w:p>
      <w:pPr>
        <w:spacing w:after="0" w:line="240" w:lineRule="auto"/>
        <w:ind w:firstLine="709"/>
      </w:pPr>
      <w:r>
        <w:t>3.9. Механизм финансирования инновационно-промышленных региональных кластеров.</w:t>
      </w:r>
    </w:p>
    <w:p>
      <w:pPr>
        <w:spacing w:after="0" w:line="240" w:lineRule="auto"/>
        <w:ind w:firstLine="709"/>
      </w:pPr>
      <w:r>
        <w:t>3.10. Инвестирование в технологии по требованиям «зеленых» стандартов финансирования: критерии, инструменты, тенденции.</w:t>
      </w:r>
    </w:p>
    <w:p>
      <w:pPr>
        <w:spacing w:after="0" w:line="240" w:lineRule="auto"/>
        <w:ind w:firstLine="709"/>
      </w:pPr>
      <w:r>
        <w:t>3.11. Механизм инновационной кооперации в высокотехнологичных экосистемах.</w:t>
      </w:r>
    </w:p>
    <w:p>
      <w:pPr>
        <w:spacing w:after="0" w:line="240" w:lineRule="auto"/>
        <w:ind w:firstLine="709"/>
        <w:rPr>
          <w:bCs/>
          <w:shd w:val="clear" w:color="auto" w:fill="FFFFFF"/>
        </w:rPr>
      </w:pPr>
      <w:r>
        <w:rPr>
          <w:bCs/>
          <w:shd w:val="clear" w:color="auto" w:fill="FFFFFF"/>
        </w:rPr>
        <w:t>3.12. Развитие организационно-методического обеспечения экспертно-аналитической поддержки отбора инновационных проектов.</w:t>
      </w:r>
    </w:p>
    <w:p>
      <w:pPr>
        <w:spacing w:after="0" w:line="240" w:lineRule="auto"/>
        <w:ind w:firstLine="709"/>
        <w:rPr>
          <w:bCs/>
          <w:shd w:val="clear" w:color="auto" w:fill="FFFFFF"/>
        </w:rPr>
      </w:pPr>
      <w:r>
        <w:rPr>
          <w:bCs/>
          <w:shd w:val="clear" w:color="auto" w:fill="FFFFFF"/>
        </w:rPr>
        <w:t>3.13. Развитие механизма государственной поддержки территориальных инновационных экосистем.</w:t>
      </w:r>
    </w:p>
    <w:p>
      <w:pPr>
        <w:spacing w:after="0" w:line="240" w:lineRule="auto"/>
        <w:ind w:firstLine="709"/>
      </w:pPr>
      <w:r>
        <w:t>3.14.</w:t>
      </w:r>
      <w:r>
        <w:rPr>
          <w:rFonts w:eastAsia="Calibri"/>
        </w:rPr>
        <w:t xml:space="preserve"> Налоговый арсенал сокращения неравенства между регионами. </w:t>
      </w:r>
    </w:p>
    <w:p>
      <w:pPr>
        <w:spacing w:after="0" w:line="240" w:lineRule="auto"/>
        <w:ind w:firstLine="709"/>
      </w:pPr>
      <w:r>
        <w:t>3.15. Особые экономические зоны как точки экономического роста.</w:t>
      </w:r>
    </w:p>
    <w:p>
      <w:pPr>
        <w:spacing w:after="0" w:line="240" w:lineRule="auto"/>
        <w:ind w:firstLine="709"/>
        <w:rPr>
          <w:rFonts w:eastAsia="Calibri"/>
        </w:rPr>
      </w:pPr>
      <w:r>
        <w:t xml:space="preserve">3.16. </w:t>
      </w:r>
      <w:r>
        <w:rPr>
          <w:rFonts w:eastAsia="Calibri"/>
        </w:rPr>
        <w:t xml:space="preserve">Перспективы развития регионального и местного налогообложения в целях устойчивого развития территорий. </w:t>
      </w:r>
    </w:p>
    <w:p>
      <w:pPr>
        <w:spacing w:after="0" w:line="240" w:lineRule="auto"/>
        <w:ind w:firstLine="709"/>
        <w:rPr>
          <w:rFonts w:eastAsia="Calibri"/>
        </w:rPr>
      </w:pPr>
      <w:r>
        <w:t xml:space="preserve">3.17. </w:t>
      </w:r>
      <w:r>
        <w:rPr>
          <w:rFonts w:eastAsia="Calibri"/>
        </w:rPr>
        <w:t xml:space="preserve"> Эффекты индивидуального подоходного налогообложения на субфедеральном уровне.</w:t>
      </w:r>
    </w:p>
    <w:p>
      <w:pPr>
        <w:spacing w:after="0" w:line="240" w:lineRule="auto"/>
        <w:ind w:firstLine="709"/>
      </w:pPr>
      <w:r>
        <w:t xml:space="preserve">3.18. </w:t>
      </w:r>
      <w:r>
        <w:t>Налоговые механизмы поддержки субъектов малого и среднего предпринимательства</w:t>
      </w:r>
      <w:r>
        <w:rPr>
          <w:color w:val="FF0000"/>
        </w:rPr>
        <w:t>.</w:t>
      </w:r>
    </w:p>
    <w:p>
      <w:pPr>
        <w:spacing w:after="0" w:line="240" w:lineRule="auto"/>
        <w:ind w:firstLine="709"/>
        <w:rPr>
          <w:bCs/>
          <w:shd w:val="clear" w:color="auto" w:fill="FFFFFF"/>
        </w:rPr>
      </w:pPr>
      <w:r>
        <w:t xml:space="preserve">3.19. </w:t>
      </w:r>
      <w:r>
        <w:rPr>
          <w:bCs/>
          <w:shd w:val="clear" w:color="auto" w:fill="FFFFFF"/>
        </w:rPr>
        <w:t>Правовые механизмы реализации достижения национальных целей экономического развития России.</w:t>
      </w:r>
    </w:p>
    <w:p>
      <w:pPr>
        <w:pStyle w:val="Default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3.20. Правовое регулирование </w:t>
      </w:r>
      <w:r>
        <w:rPr>
          <w:sz w:val="28"/>
          <w:szCs w:val="28"/>
        </w:rPr>
        <w:t>статуса арктических территорий и  территориальных границ Российской Федерации.</w:t>
      </w:r>
    </w:p>
    <w:p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>
        <w:rPr>
          <w:rFonts w:eastAsia="Times New Roman"/>
          <w:sz w:val="28"/>
          <w:szCs w:val="28"/>
          <w:lang w:eastAsia="ru-RU"/>
        </w:rPr>
        <w:t>Правовая защита гражданина при использовании информационных и цифровых технологий </w:t>
      </w:r>
      <w:r>
        <w:rPr>
          <w:sz w:val="28"/>
          <w:szCs w:val="28"/>
        </w:rPr>
        <w:t xml:space="preserve"> </w:t>
      </w:r>
    </w:p>
    <w:p>
      <w:pPr>
        <w:spacing w:after="0" w:line="240" w:lineRule="auto"/>
        <w:ind w:firstLine="709"/>
        <w:rPr>
          <w:color w:val="FF0000"/>
        </w:rPr>
      </w:pPr>
    </w:p>
    <w:p>
      <w:pPr>
        <w:pStyle w:val="a4"/>
        <w:spacing w:after="0" w:line="240" w:lineRule="auto"/>
        <w:ind w:left="0" w:firstLine="709"/>
      </w:pPr>
      <w:r>
        <w:rPr>
          <w:color w:val="FF0000"/>
          <w:sz w:val="24"/>
          <w:szCs w:val="24"/>
          <w:shd w:val="clear" w:color="auto" w:fill="FFFFFF"/>
        </w:rPr>
        <w:t>Представление статей — до 1 июня 2024 г., заявок — до 20 апреля 2024 г.</w:t>
      </w:r>
    </w:p>
    <w:p>
      <w:pPr>
        <w:spacing w:after="0" w:line="240" w:lineRule="auto"/>
        <w:ind w:firstLine="709"/>
        <w:rPr>
          <w:b/>
          <w:bCs/>
          <w:color w:val="464C55"/>
          <w:shd w:val="clear" w:color="auto" w:fill="FFFFFF"/>
        </w:rPr>
      </w:pPr>
      <w:r>
        <w:rPr>
          <w:b/>
          <w:bCs/>
          <w:color w:val="464C55"/>
          <w:shd w:val="clear" w:color="auto" w:fill="FFFFFF"/>
        </w:rPr>
        <w:t>ЭНП 4/2024 «Обеспечение глобальной конкурентоспособности российского образования»</w:t>
      </w:r>
    </w:p>
    <w:p>
      <w:pPr>
        <w:spacing w:after="0" w:line="240" w:lineRule="auto"/>
        <w:ind w:firstLine="709"/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t>4.1.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>
      <w:pPr>
        <w:spacing w:after="0" w:line="240" w:lineRule="auto"/>
        <w:ind w:firstLine="709"/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t>4.2.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>
      <w:pPr>
        <w:spacing w:after="0" w:line="240" w:lineRule="auto"/>
        <w:ind w:firstLine="709"/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t>4.3. Создание передовой инфраструктуры научных исследований и разработок, инновационной деятельности.</w:t>
      </w:r>
    </w:p>
    <w:p>
      <w:pPr>
        <w:spacing w:after="0" w:line="240" w:lineRule="auto"/>
        <w:ind w:firstLine="709"/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t>4.4. 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>
      <w:pPr>
        <w:spacing w:after="0" w:line="240" w:lineRule="auto"/>
        <w:ind w:firstLine="709"/>
      </w:pPr>
      <w:r>
        <w:t>4.5. Определение потенциала России на рынке университетов мирового класса.</w:t>
      </w:r>
    </w:p>
    <w:p>
      <w:pPr>
        <w:spacing w:after="0" w:line="240" w:lineRule="auto"/>
        <w:ind w:firstLine="709"/>
      </w:pPr>
      <w:r>
        <w:lastRenderedPageBreak/>
        <w:t>4.6. Механизмы государственного стимулирования актуальных и приоритетных направлений совершенствования воспитательных практик в развитии молодежи.</w:t>
      </w:r>
    </w:p>
    <w:p>
      <w:pPr>
        <w:spacing w:after="0" w:line="240" w:lineRule="auto"/>
        <w:ind w:firstLine="709"/>
      </w:pPr>
      <w:r>
        <w:t>4.7. Повышение качества цифровых сред в системе высшего образования России.</w:t>
      </w:r>
    </w:p>
    <w:p>
      <w:pPr>
        <w:spacing w:after="0" w:line="240" w:lineRule="auto"/>
        <w:ind w:firstLine="709"/>
      </w:pPr>
      <w:r>
        <w:t>4.8. Управление развитием научно-образовательной сферы.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4.9. Неформальная занятость и занятость в неформальном секторе: особенности измерения и регулирования.</w:t>
      </w:r>
    </w:p>
    <w:p>
      <w:pPr>
        <w:spacing w:after="0" w:line="240" w:lineRule="auto"/>
        <w:ind w:firstLine="709"/>
      </w:pPr>
      <w:r>
        <w:t xml:space="preserve"> 4.10.</w:t>
      </w:r>
      <w:r>
        <w:rPr>
          <w:rFonts w:eastAsia="Calibri"/>
        </w:rPr>
        <w:t xml:space="preserve"> Налоговые стимулы обеспечения и получения качественного образования. </w:t>
      </w:r>
    </w:p>
    <w:p>
      <w:pPr>
        <w:spacing w:after="0" w:line="240" w:lineRule="auto"/>
        <w:ind w:firstLine="709"/>
        <w:rPr>
          <w:rFonts w:eastAsia="Calibri"/>
        </w:rPr>
      </w:pPr>
      <w:r>
        <w:t>4.11.</w:t>
      </w:r>
      <w:r>
        <w:rPr>
          <w:rFonts w:eastAsia="Calibri"/>
        </w:rPr>
        <w:t xml:space="preserve"> Возможности подоходного налогообложения в развитии человеческого капитала.</w:t>
      </w:r>
    </w:p>
    <w:p>
      <w:pPr>
        <w:spacing w:after="0" w:line="240" w:lineRule="auto"/>
        <w:ind w:firstLine="709"/>
        <w:rPr>
          <w:rFonts w:eastAsia="Calibri"/>
        </w:rPr>
      </w:pPr>
      <w:r>
        <w:t xml:space="preserve">4.12. </w:t>
      </w:r>
      <w:r>
        <w:t>Налоговые вычеты по НДФЛ в системе поддержки российского образования</w:t>
      </w:r>
      <w:r>
        <w:rPr>
          <w:color w:val="FF0000"/>
        </w:rPr>
        <w:t>.</w:t>
      </w:r>
    </w:p>
    <w:p>
      <w:pPr>
        <w:spacing w:after="0" w:line="240" w:lineRule="auto"/>
        <w:ind w:firstLine="709"/>
        <w:rPr>
          <w:bCs/>
          <w:shd w:val="clear" w:color="auto" w:fill="FFFFFF"/>
        </w:rPr>
      </w:pPr>
      <w:r>
        <w:t xml:space="preserve">4.13. </w:t>
      </w:r>
      <w:r>
        <w:rPr>
          <w:bCs/>
          <w:shd w:val="clear" w:color="auto" w:fill="FFFFFF"/>
        </w:rPr>
        <w:t>Правовые основы обеспечения глобальной конкурентоспособности российского образования.</w:t>
      </w:r>
    </w:p>
    <w:p>
      <w:pPr>
        <w:autoSpaceDE w:val="0"/>
        <w:autoSpaceDN w:val="0"/>
        <w:adjustRightInd w:val="0"/>
        <w:spacing w:after="0" w:line="240" w:lineRule="auto"/>
        <w:ind w:firstLine="709"/>
      </w:pPr>
      <w:r>
        <w:t>4.14. Совершенствование  экономико-правовых механизмов развития современной и безопасной цифровой образовательной среды.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color w:val="FF0000"/>
        </w:rPr>
      </w:pPr>
      <w:r>
        <w:t xml:space="preserve">4.15. </w:t>
      </w:r>
      <w:r>
        <w:rPr>
          <w:rFonts w:eastAsia="Times New Roman"/>
          <w:color w:val="000000"/>
          <w:lang w:eastAsia="ru-RU"/>
        </w:rPr>
        <w:t>Правовая регламентация ограничений и запретов при совершении дистанционных сделок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rPr>
          <w:color w:val="FF0000"/>
          <w:shd w:val="clear" w:color="auto" w:fill="FFFFFF"/>
        </w:rPr>
      </w:pPr>
    </w:p>
    <w:p>
      <w:pPr>
        <w:spacing w:after="0" w:line="240" w:lineRule="auto"/>
        <w:ind w:firstLine="709"/>
        <w:rPr>
          <w:color w:val="464C55"/>
          <w:shd w:val="clear" w:color="auto" w:fill="FFFFFF"/>
        </w:rPr>
      </w:pPr>
    </w:p>
    <w:p>
      <w:pPr>
        <w:pStyle w:val="a4"/>
        <w:shd w:val="clear" w:color="auto" w:fill="FFFFFF"/>
        <w:spacing w:after="0" w:line="240" w:lineRule="auto"/>
        <w:ind w:left="0" w:firstLine="709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464C55"/>
          <w:shd w:val="clear" w:color="auto" w:fill="FFFFFF"/>
        </w:rPr>
        <w:t> </w:t>
      </w:r>
      <w:r>
        <w:rPr>
          <w:color w:val="FF0000"/>
          <w:sz w:val="24"/>
          <w:szCs w:val="24"/>
          <w:shd w:val="clear" w:color="auto" w:fill="FFFFFF"/>
        </w:rPr>
        <w:t>Представление статей — до  10 июля 2024 г., заявок — до 1 июня 2024 г.</w:t>
      </w:r>
    </w:p>
    <w:p>
      <w:pPr>
        <w:shd w:val="clear" w:color="auto" w:fill="FFFFFF"/>
        <w:spacing w:after="0" w:line="240" w:lineRule="auto"/>
        <w:ind w:firstLine="709"/>
        <w:rPr>
          <w:rFonts w:eastAsia="Times New Roman"/>
          <w:color w:val="1A1A1A"/>
          <w:lang w:eastAsia="ru-RU"/>
        </w:rPr>
      </w:pPr>
      <w:r>
        <w:rPr>
          <w:b/>
          <w:bCs/>
          <w:color w:val="464C55"/>
          <w:shd w:val="clear" w:color="auto" w:fill="FFFFFF"/>
        </w:rPr>
        <w:t>ЭНП 5/2924</w:t>
      </w:r>
      <w:r>
        <w:rPr>
          <w:color w:val="464C55"/>
          <w:shd w:val="clear" w:color="auto" w:fill="FFFFFF"/>
        </w:rPr>
        <w:t xml:space="preserve"> «</w:t>
      </w:r>
      <w:r>
        <w:rPr>
          <w:rFonts w:eastAsia="Times New Roman"/>
          <w:b/>
          <w:bCs/>
          <w:color w:val="1A1A1A"/>
          <w:lang w:eastAsia="ru-RU"/>
        </w:rPr>
        <w:t>Реализация национального проекта «Малое и среднее предпринимательство и поддержка индивидуальной предпринимательской инициативы»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5.1. 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технику.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5.2. 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предпринимателей.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5.3. 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предпринимателей.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5.4. Упрощение доступа к льготному финансированию,  ежегодное увеличение объема льготных кредитов, выдаваемых субъектам малого и среднего предпринимательства, включая индивидуальных предпринимателей.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5.5. 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экология.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lastRenderedPageBreak/>
        <w:t>5.6. 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экспорта.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5.7. Создание системы поддержки фермеров и развитие сельской кооперации.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5.8. Обеспечение благоприятных условий осуществления деятельности самозанятыми гражданами. 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5.9. Формирование благоприятных условий доступа субъектов малого и среднего предпринимательства к финансовым ресурсам.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5.10. Мотивация и стимулирование предпринимательской деятельности в Российской Федерации.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5.11. Развитие финансовых продуктов в целях поддержки малого и среднего бизнеса.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5.12. Увеличение доли экспорта субъектов малого и среднего предпринимательства, включая индивидуальных предпринимателей в общем объеме несырьевого экспорта.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5.13.</w:t>
      </w:r>
      <w:r>
        <w:t xml:space="preserve"> У</w:t>
      </w:r>
      <w:r>
        <w:rPr>
          <w:b w:val="0"/>
          <w:bCs w:val="0"/>
          <w:sz w:val="28"/>
          <w:szCs w:val="28"/>
        </w:rPr>
        <w:t>правление проектами государственно-частного партнёрства в сфере предоставления социально значимых услуг для населения.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5.14.</w:t>
      </w:r>
      <w:r>
        <w:t xml:space="preserve"> </w:t>
      </w:r>
      <w:r>
        <w:rPr>
          <w:sz w:val="28"/>
          <w:szCs w:val="28"/>
        </w:rPr>
        <w:t>Бизнес-альянсы как инструмент развития системы предпринимательства в России.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5.15. Налогообложение малого и среднего бизнеса и развитие российской экономики. </w:t>
      </w:r>
    </w:p>
    <w:p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5.16. Совершенствование системы налогообложения малого и среднего бизнеса. </w:t>
      </w:r>
      <w:r>
        <w:rPr>
          <w:color w:val="auto"/>
          <w:sz w:val="28"/>
          <w:szCs w:val="28"/>
        </w:rPr>
        <w:tab/>
      </w:r>
    </w:p>
    <w:tbl>
      <w:tblPr>
        <w:tblW w:w="952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23"/>
      </w:tblGrid>
      <w:tr>
        <w:trPr>
          <w:trHeight w:val="125"/>
        </w:trPr>
        <w:tc>
          <w:tcPr>
            <w:tcW w:w="9523" w:type="dxa"/>
            <w:tcBorders>
              <w:top w:val="nil"/>
              <w:left w:val="nil"/>
              <w:right w:val="nil"/>
            </w:tcBorders>
          </w:tcPr>
          <w:p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5.17. Проблемы налогообложения малого и среднего бизнеса, способы их решения.</w:t>
            </w:r>
          </w:p>
          <w:p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  </w:t>
            </w:r>
            <w:r>
              <w:rPr>
                <w:sz w:val="28"/>
                <w:szCs w:val="28"/>
                <w:shd w:val="clear" w:color="auto" w:fill="FEFEFE"/>
              </w:rPr>
              <w:t>5.</w:t>
            </w:r>
            <w:r>
              <w:rPr>
                <w:sz w:val="28"/>
                <w:szCs w:val="28"/>
                <w:shd w:val="clear" w:color="auto" w:fill="FEFEFE"/>
              </w:rPr>
              <w:t>18</w:t>
            </w:r>
            <w:r>
              <w:rPr>
                <w:sz w:val="28"/>
                <w:szCs w:val="28"/>
                <w:shd w:val="clear" w:color="auto" w:fill="FEFEFE"/>
              </w:rPr>
              <w:t xml:space="preserve">. Эффективность функционирования специального налогового режима «Налог на профессиональный доход», </w:t>
            </w:r>
            <w:r>
              <w:rPr>
                <w:sz w:val="28"/>
                <w:szCs w:val="28"/>
              </w:rPr>
              <w:t>особенно при реализации товаров, оказании услуг, выполнении работ для исключения подмены трудовых отношений режимом НПД.</w:t>
            </w:r>
          </w:p>
          <w:p>
            <w:pPr>
              <w:spacing w:after="0" w:line="240" w:lineRule="auto"/>
              <w:ind w:firstLine="709"/>
            </w:pPr>
            <w:r>
              <w:t xml:space="preserve">           </w:t>
            </w:r>
            <w:r>
              <w:t>5.</w:t>
            </w:r>
            <w:r>
              <w:t>19</w:t>
            </w:r>
            <w:r>
              <w:t>. Оценка эффектов применения автоматизированной упрощенной системы налогообложения, обеспечивающей упрощение (отмену) налоговой отчетности и отчетности в государственные внебюджетные фонды.</w:t>
            </w:r>
          </w:p>
          <w:p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5.2</w:t>
            </w:r>
            <w:r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. Рекомендации по созданию эффективной системы контрольных инструментов в рамках специальных налоговых режимов для субъектов малого и среднего предпринимательства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5.21. Правоприменительная практика реализации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rPr>
                <w:color w:val="273656"/>
                <w:sz w:val="28"/>
                <w:szCs w:val="28"/>
                <w:shd w:val="clear" w:color="auto" w:fill="FEFEFE"/>
              </w:rPr>
            </w:pPr>
            <w:r>
              <w:rPr>
                <w:color w:val="273656"/>
                <w:sz w:val="28"/>
                <w:szCs w:val="28"/>
                <w:shd w:val="clear" w:color="auto" w:fill="FEFEFE"/>
              </w:rPr>
              <w:t xml:space="preserve"> 5.22. Гражданско-правовое регулирование деятельности малого и среднего бизнеса.</w:t>
            </w:r>
          </w:p>
          <w:p>
            <w:pPr>
              <w:shd w:val="clear" w:color="auto" w:fill="FFFFFF"/>
              <w:spacing w:after="0" w:line="240" w:lineRule="auto"/>
              <w:ind w:firstLine="709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273656"/>
                <w:shd w:val="clear" w:color="auto" w:fill="FEFEFE"/>
              </w:rPr>
              <w:t xml:space="preserve">5.23. </w:t>
            </w:r>
            <w:r>
              <w:rPr>
                <w:rFonts w:eastAsia="Times New Roman"/>
                <w:color w:val="000000"/>
                <w:lang w:eastAsia="ru-RU"/>
              </w:rPr>
              <w:t>Государственная поддержка субъектов малого и среднего предпринимательства. </w:t>
            </w:r>
          </w:p>
          <w:p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color w:val="273656"/>
                <w:sz w:val="28"/>
                <w:szCs w:val="28"/>
                <w:shd w:val="clear" w:color="auto" w:fill="FEFEFE"/>
              </w:rPr>
              <w:lastRenderedPageBreak/>
              <w:t>.</w:t>
            </w:r>
          </w:p>
          <w:p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  <w:p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firstLine="708"/>
        <w:rPr>
          <w:b/>
          <w:bCs/>
          <w:sz w:val="24"/>
          <w:szCs w:val="24"/>
          <w:highlight w:val="yellow"/>
        </w:rPr>
      </w:pPr>
      <w:r>
        <w:rPr>
          <w:color w:val="FF0000"/>
          <w:sz w:val="24"/>
          <w:szCs w:val="24"/>
          <w:shd w:val="clear" w:color="auto" w:fill="FFFFFF"/>
        </w:rPr>
        <w:lastRenderedPageBreak/>
        <w:t>Представление статей — до 10 сентября 2024 г., заявок — до 5 августа 2024 г.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color w:val="464C55"/>
          <w:sz w:val="28"/>
          <w:szCs w:val="28"/>
        </w:rPr>
      </w:pPr>
      <w:r>
        <w:rPr>
          <w:b/>
          <w:bCs/>
          <w:sz w:val="28"/>
          <w:szCs w:val="28"/>
        </w:rPr>
        <w:t>ЭНП 6/2024 «Роль и место России в формирующейся новой мировой финансовой архитектуре»</w:t>
      </w:r>
    </w:p>
    <w:p>
      <w:pPr>
        <w:spacing w:after="0" w:line="240" w:lineRule="auto"/>
        <w:ind w:firstLine="709"/>
      </w:pPr>
      <w:r>
        <w:t xml:space="preserve">6.1. Концептуальные основы формирования новой мировой финансовой архитектуры в условиях трансформации глобальной социально-экономической парадигмы. </w:t>
      </w:r>
    </w:p>
    <w:p>
      <w:pPr>
        <w:spacing w:after="0" w:line="240" w:lineRule="auto"/>
        <w:ind w:firstLine="709"/>
      </w:pPr>
      <w:r>
        <w:t xml:space="preserve">6.2. Систематизация институциональных и функциональных противоречий современной мировой финансовой архитектуры. </w:t>
      </w:r>
    </w:p>
    <w:p>
      <w:pPr>
        <w:spacing w:after="0" w:line="240" w:lineRule="auto"/>
        <w:ind w:firstLine="709"/>
      </w:pPr>
      <w:r>
        <w:t>6.3. Систематизация региональных особенностей новой мировой финансовой архитектуры.</w:t>
      </w:r>
    </w:p>
    <w:p>
      <w:pPr>
        <w:spacing w:after="0" w:line="240" w:lineRule="auto"/>
        <w:ind w:firstLine="709"/>
      </w:pPr>
      <w:r>
        <w:t>6.4. Усиление  роли России в мировой финансовой архитектуре в условиях усиления противостояния между ведущими центрами мировой экономики.</w:t>
      </w:r>
    </w:p>
    <w:p>
      <w:pPr>
        <w:spacing w:after="0" w:line="240" w:lineRule="auto"/>
        <w:ind w:firstLine="709"/>
      </w:pPr>
      <w:r>
        <w:t>6.5. Формирование благоприятных структурных, институциональных и макроэкономических условий для образования в МВС полюсов конкурентоспособности валют развивающихся стран.</w:t>
      </w:r>
    </w:p>
    <w:p>
      <w:pPr>
        <w:spacing w:after="0" w:line="240" w:lineRule="auto"/>
        <w:ind w:firstLine="709"/>
      </w:pPr>
      <w:r>
        <w:t>6.6. Факторы, условия и направления повышения роли китайского юаня и валют других развивающихся стран в МВС.</w:t>
      </w:r>
    </w:p>
    <w:p>
      <w:pPr>
        <w:spacing w:after="0" w:line="240" w:lineRule="auto"/>
        <w:ind w:firstLine="709"/>
      </w:pPr>
      <w:r>
        <w:t>6.7. Развитие и совершенствование финансового рынка Российской Федерации в современных геополитических условиях.</w:t>
      </w:r>
    </w:p>
    <w:p>
      <w:pPr>
        <w:spacing w:after="0" w:line="240" w:lineRule="auto"/>
        <w:ind w:firstLine="709"/>
      </w:pPr>
      <w:r>
        <w:t>6.8. Современное состояние и тенденции развития инфраструктуры международного финансового рынка.</w:t>
      </w:r>
    </w:p>
    <w:p>
      <w:pPr>
        <w:spacing w:after="0" w:line="240" w:lineRule="auto"/>
        <w:ind w:firstLine="709"/>
      </w:pPr>
      <w:r>
        <w:t>6.9. Глобальный энергетический переход: последствия для российской экономики.</w:t>
      </w:r>
    </w:p>
    <w:p>
      <w:pPr>
        <w:spacing w:after="0" w:line="240" w:lineRule="auto"/>
        <w:ind w:firstLine="709"/>
      </w:pPr>
      <w:r>
        <w:t>6.10. Трансформация институтов глобального управления и повышение роли транснациональных корпораций в условиях четвертой промышленной революции.</w:t>
      </w:r>
    </w:p>
    <w:p>
      <w:pPr>
        <w:spacing w:after="0" w:line="240" w:lineRule="auto"/>
        <w:ind w:firstLine="709"/>
        <w:rPr>
          <w:color w:val="FF0000"/>
        </w:rPr>
      </w:pPr>
      <w:r>
        <w:t xml:space="preserve">6.11. </w:t>
      </w:r>
      <w:r>
        <w:rPr>
          <w:color w:val="000000"/>
          <w:shd w:val="clear" w:color="auto" w:fill="FFFFFF"/>
        </w:rPr>
        <w:t>Финансовые инновации России как механизмы встраивания в трансформирующуюся турбулентную международную среду. </w:t>
      </w:r>
    </w:p>
    <w:p>
      <w:pPr>
        <w:tabs>
          <w:tab w:val="left" w:pos="0"/>
          <w:tab w:val="left" w:pos="180"/>
        </w:tabs>
        <w:spacing w:after="0" w:line="240" w:lineRule="auto"/>
        <w:ind w:firstLine="709"/>
        <w:jc w:val="both"/>
      </w:pPr>
      <w:r>
        <w:t>6.11. Международное сотрудничество в сфере налогообложения в современных геополитических условиях</w:t>
      </w:r>
    </w:p>
    <w:p>
      <w:pPr>
        <w:spacing w:after="0" w:line="240" w:lineRule="auto"/>
        <w:ind w:firstLine="709"/>
      </w:pPr>
      <w:r>
        <w:t xml:space="preserve"> 6.12. Совершенствование налогообложения и налогового администрирования транснациональных компаний и бенефициаров.</w:t>
      </w:r>
    </w:p>
    <w:p>
      <w:pPr>
        <w:spacing w:after="0" w:line="24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6.16. Перспективы налогообложения внешнеэкономической деятельности в условиях цифровизации экономики.</w:t>
      </w:r>
    </w:p>
    <w:p>
      <w:pPr>
        <w:spacing w:after="0" w:line="24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6.17. Барьеры и перспективы государственного администрирования и контроля внешнеэкономической деятельности в условиях цифровизации трансграничной торговли.</w:t>
      </w:r>
    </w:p>
    <w:p>
      <w:pPr>
        <w:spacing w:after="0" w:line="24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6.18. Налогообложение цифровых компаний и бизнес-моделей.</w:t>
      </w:r>
    </w:p>
    <w:p>
      <w:pPr>
        <w:spacing w:after="0" w:line="24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6.19. Лучшие практики в области трансформации налогового администрирования.</w:t>
      </w:r>
    </w:p>
    <w:p>
      <w:pPr>
        <w:spacing w:after="0" w:line="240" w:lineRule="auto"/>
        <w:ind w:firstLine="709"/>
      </w:pPr>
    </w:p>
    <w:p>
      <w:pPr>
        <w:spacing w:after="0" w:line="240" w:lineRule="auto"/>
        <w:ind w:firstLine="709"/>
      </w:pPr>
      <w:r>
        <w:lastRenderedPageBreak/>
        <w:t xml:space="preserve">6.20. Особенности финансового законодательства как инструмента реализации финансовой политики государства в формирующейся новой мировой финансовой архитектуре. </w:t>
      </w:r>
    </w:p>
    <w:p>
      <w:pPr>
        <w:spacing w:after="0" w:line="240" w:lineRule="auto"/>
        <w:ind w:firstLine="709"/>
        <w:rPr>
          <w:bCs/>
        </w:rPr>
      </w:pPr>
      <w:r>
        <w:t xml:space="preserve">6.21. </w:t>
      </w:r>
      <w:r>
        <w:rPr>
          <w:rFonts w:eastAsia="Calibri"/>
          <w:lang w:eastAsia="ru-RU"/>
        </w:rPr>
        <w:t>Обеспечение финансовой безопасности государства как концептуальный элемент формирования и построения</w:t>
      </w:r>
      <w:r>
        <w:rPr>
          <w:bCs/>
        </w:rPr>
        <w:t xml:space="preserve"> новой мировой финансовой архитектуры.</w:t>
      </w:r>
    </w:p>
    <w:p>
      <w:pPr>
        <w:spacing w:after="0" w:line="240" w:lineRule="auto"/>
        <w:ind w:firstLine="709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bCs/>
        </w:rPr>
        <w:t xml:space="preserve">6.22. </w:t>
      </w:r>
      <w:r>
        <w:rPr>
          <w:color w:val="333333"/>
          <w:shd w:val="clear" w:color="auto" w:fill="FFFFFF"/>
        </w:rPr>
        <w:t>Правовое регулирование финансовой архитектуры.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>
      <w:pPr>
        <w:spacing w:after="0" w:line="240" w:lineRule="auto"/>
        <w:ind w:firstLine="709"/>
      </w:pPr>
      <w:r>
        <w:rPr>
          <w:color w:val="333333"/>
          <w:shd w:val="clear" w:color="auto" w:fill="FFFFFF"/>
        </w:rPr>
        <w:t xml:space="preserve">6.23. </w:t>
      </w:r>
      <w:r>
        <w:rPr>
          <w:rFonts w:eastAsia="Times New Roman"/>
          <w:color w:val="000000"/>
          <w:lang w:eastAsia="ru-RU"/>
        </w:rPr>
        <w:t>Правовое обеспечение технологического суверенитета в Российской Федерации в современных условиях.</w:t>
      </w:r>
    </w:p>
    <w:p>
      <w:pPr>
        <w:spacing w:after="0" w:line="240" w:lineRule="auto"/>
        <w:ind w:firstLine="709"/>
        <w:rPr>
          <w:highlight w:val="yellow"/>
        </w:rPr>
      </w:pPr>
    </w:p>
    <w:p>
      <w:pPr>
        <w:spacing w:after="0" w:line="240" w:lineRule="auto"/>
        <w:rPr>
          <w:color w:val="FF0000"/>
        </w:rPr>
      </w:pPr>
    </w:p>
    <w:p>
      <w:pPr>
        <w:spacing w:after="0" w:line="240" w:lineRule="auto"/>
        <w:ind w:firstLine="709"/>
        <w:rPr>
          <w:color w:val="FF0000"/>
          <w:highlight w:val="yellow"/>
        </w:rPr>
      </w:pPr>
    </w:p>
    <w:p>
      <w:pPr>
        <w:spacing w:after="0" w:line="240" w:lineRule="auto"/>
        <w:ind w:firstLine="709"/>
      </w:pPr>
    </w:p>
    <w:p>
      <w:r>
        <w:rPr>
          <w:rFonts w:ascii="PT Serif" w:hAnsi="PT Serif"/>
          <w:color w:val="464C55"/>
          <w:shd w:val="clear" w:color="auto" w:fill="FFFFFF"/>
        </w:rPr>
        <w:tab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03C4-76DC-4016-B2B6-F0E6D0D7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3607384/23677fe3c00eba6d9c7f753167136843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FF7B8B92988D4F882C8C1656AB9FCE" ma:contentTypeVersion="0" ma:contentTypeDescription="Создание документа." ma:contentTypeScope="" ma:versionID="bb304d311501f13b9c0c16bf55ad26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6196F-9CA4-4B7C-809A-364763EB25C7}"/>
</file>

<file path=customXml/itemProps2.xml><?xml version="1.0" encoding="utf-8"?>
<ds:datastoreItem xmlns:ds="http://schemas.openxmlformats.org/officeDocument/2006/customXml" ds:itemID="{32FB1AEE-E529-4215-B0F1-6782CE5A59E2}"/>
</file>

<file path=customXml/itemProps3.xml><?xml version="1.0" encoding="utf-8"?>
<ds:datastoreItem xmlns:ds="http://schemas.openxmlformats.org/officeDocument/2006/customXml" ds:itemID="{69F44105-4A89-45FE-85A9-1A866727A6C5}"/>
</file>

<file path=customXml/itemProps4.xml><?xml version="1.0" encoding="utf-8"?>
<ds:datastoreItem xmlns:ds="http://schemas.openxmlformats.org/officeDocument/2006/customXml" ds:itemID="{4EEC45E7-FF77-41F2-9AB9-04ECF38CC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8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Чечет</dc:creator>
  <cp:keywords/>
  <dc:description/>
  <cp:lastModifiedBy>Владимир Чечет</cp:lastModifiedBy>
  <cp:revision>29</cp:revision>
  <dcterms:created xsi:type="dcterms:W3CDTF">2023-01-24T07:28:00Z</dcterms:created>
  <dcterms:modified xsi:type="dcterms:W3CDTF">2023-03-16T03:45:00Z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0x01010066FF7B8B92988D4F882C8C1656AB9FCE</vt:lpwstr>
  </property>
</Properties>
</file>