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Согласовано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МК Фейзрахманова Н.М.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(Ф.И.О. менеджера компетенции)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</w:rPr>
        <w:drawing>
          <wp:inline distB="0" distT="0" distL="0" distR="0">
            <wp:extent cx="919378" cy="543269"/>
            <wp:effectExtent b="0" l="0" r="0" t="0"/>
            <wp:docPr id="2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378" cy="5432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ТИПОВОЕ КОНКУРСНОЕ ЗАДАНИЕ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Итоговых соревнований по компетенциям, не принимающим участие в Финале X Национального чемпионата «Молодые профессионалы» (WorldSkills Russia)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ЧЕМПИОНАТНОГО ЦИКЛА 2021–2022 гг. 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компетенции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«Банковское дело»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основной возрастной категории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16-22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Конкурсное задание включает в себя следующие разделы:</w:t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10053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Форма участия в конкурсе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:</w:t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10053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Общее время на выполнение задания: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10053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Задание для конкурса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10053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Модули задания и необходимое время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10053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Критерии оценки.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10053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8">
      <w:pPr>
        <w:tabs>
          <w:tab w:val="left" w:pos="990"/>
        </w:tabs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-29209</wp:posOffset>
            </wp:positionH>
            <wp:positionV relativeFrom="margin">
              <wp:posOffset>4652010</wp:posOffset>
            </wp:positionV>
            <wp:extent cx="7575905" cy="6065822"/>
            <wp:effectExtent b="0" l="0" r="0" t="0"/>
            <wp:wrapNone/>
            <wp:docPr descr="C:\Users\A.Platko\AppData\Local\Microsoft\Windows\INetCache\Content.Word\техописание1.jpg" id="18" name="image1.jpg"/>
            <a:graphic>
              <a:graphicData uri="http://schemas.openxmlformats.org/drawingml/2006/picture">
                <pic:pic>
                  <pic:nvPicPr>
                    <pic:cNvPr descr="C:\Users\A.Platko\AppData\Local\Microsoft\Windows\INetCache\Content.Word\техописание1.jpg" id="0" name="image1.jpg"/>
                    <pic:cNvPicPr preferRelativeResize="0"/>
                  </pic:nvPicPr>
                  <pic:blipFill>
                    <a:blip r:embed="rId8"/>
                    <a:srcRect b="0" l="0" r="0"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Форма участия в конкурсе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Индивидуальный конкурс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Общее время на выполнение задания: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 ч 10 мин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Задание для конкурса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Содержанием конкурсного задания являются банковские услуги. Участники соревнований получают задание. Конкурсное задание имеет несколько модулей, выполняемых последовательно.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включает в себя выполнение заданий в разрезе модулей.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и детали конкурсного задания в зависимости от конкурсных условий могут быть изменены членами жюри.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Конкурсное задание должно выполняться помодульно. Оценка также происходит от модуля к модулю.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Модули задания и необходимое время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245"/>
        </w:tabs>
        <w:spacing w:after="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1.</w:t>
      </w:r>
    </w:p>
    <w:tbl>
      <w:tblPr>
        <w:tblStyle w:val="Table1"/>
        <w:tblW w:w="100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5"/>
        <w:gridCol w:w="4435"/>
        <w:gridCol w:w="3466"/>
        <w:gridCol w:w="1767"/>
        <w:tblGridChange w:id="0">
          <w:tblGrid>
            <w:gridCol w:w="385"/>
            <w:gridCol w:w="4435"/>
            <w:gridCol w:w="3466"/>
            <w:gridCol w:w="176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4f81bd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Наименование модуля</w:t>
            </w:r>
          </w:p>
        </w:tc>
        <w:tc>
          <w:tcPr>
            <w:shd w:fill="4f81bd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Соревновательный день (С1, С2, С3, С4)</w:t>
            </w:r>
          </w:p>
        </w:tc>
        <w:tc>
          <w:tcPr>
            <w:shd w:fill="4f81bd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Время на задание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Консультирование клиентов, сервис, презентация банковских продуктов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С4: 1 смена 8.30-11.10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смена 10.15-12.55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смена 12.00-14.40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смена 13.45-16.25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ч 40 мин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Прием платежей и расчетно-кассовое обслуживание клиентов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С1: 1 смена 8.30-11.40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смена 10.15-13.25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смена 12.00-15.10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смена 13.45-16.55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ч 10 мин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кредитной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С2: 1 смена 8.30-11.40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смена 10.15-13.25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смена 12.00-15.10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смена 13.45-16.55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ч 10 мин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Продажа банковских продуктов и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hanging="3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С3: 1 смена 8.30-11.40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смена 10.15-13.25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смена 12.00-15.10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смена 13.45-16.55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ч 10 мин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befor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Модуль 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Консультирование клиентов, сервис, презентация банковских продуктов: </w:t>
      </w:r>
    </w:p>
    <w:p w:rsidR="00000000" w:rsidDel="00000000" w:rsidP="00000000" w:rsidRDefault="00000000" w:rsidRPr="00000000" w14:paraId="0000004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выполнения задания необходимо составить презентацию. В презентации должно быть дано общее представление о кредитной организации, ее финансовых показателях, рейтингах, а также подробная линейка банковских продуктов. С помощью презентации участник должен грамотно, учитывая все правила общения с клиентом, представить преимущества кредитной организации, провести консультацию и оформить продажу конкретного банковского продукта (будет представлен участникам перед выполнением задания).</w:t>
      </w:r>
    </w:p>
    <w:p w:rsidR="00000000" w:rsidDel="00000000" w:rsidP="00000000" w:rsidRDefault="00000000" w:rsidRPr="00000000" w14:paraId="0000004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требования к презентации: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Количество слайдов – не более 20. Презентация должна быть содержательной.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использовать единый стиль оформления. На слайдах поля, не менее 1 см с каждой стороны. «Светлый текст на темном фоне» или «темный текст на светлом фоне». Допускаемый размер шрифта – не менее 20 пт.</w:t>
      </w:r>
      <w:r w:rsidDel="00000000" w:rsidR="00000000" w:rsidRPr="00000000">
        <w:rPr>
          <w:color w:val="00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Шрифт информации в таблицах можно уменьшить до 18 пт.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выделения информации следует использовать жирный шрифт, курсив или подчеркивание.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обеспечения разнообразия следует использовать разные виды слайдов: с текстом; с таблицами; с диаграммами.</w:t>
      </w:r>
    </w:p>
    <w:p w:rsidR="00000000" w:rsidDel="00000000" w:rsidP="00000000" w:rsidRDefault="00000000" w:rsidRPr="00000000" w14:paraId="0000004A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Критерии оценки: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умение произвести подбор необходимого клиенту банковского продукта, осуществление коммуникации с клиентом, работа с банковскими документами, верное использование общепринятой терминологии по компетенции, пользоваться персональным компьютером и программными продуктами.</w:t>
      </w:r>
    </w:p>
    <w:p w:rsidR="00000000" w:rsidDel="00000000" w:rsidP="00000000" w:rsidRDefault="00000000" w:rsidRPr="00000000" w14:paraId="0000004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Модуль 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Прием платежей и расчетно-кассовое обслуживание клиентов: </w:t>
      </w:r>
    </w:p>
    <w:p w:rsidR="00000000" w:rsidDel="00000000" w:rsidP="00000000" w:rsidRDefault="00000000" w:rsidRPr="00000000" w14:paraId="0000004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Участнику необходимо осуществить расчетно-кассовое обслуживание клиентов, уметь открывать и закрывать банковские счета клиентам, проверять правильность и полноту оформления расчетно-кассовых документов, применяя нормативно-законодательную базу, регламентирующую данную деятельность.</w:t>
      </w:r>
    </w:p>
    <w:p w:rsidR="00000000" w:rsidDel="00000000" w:rsidP="00000000" w:rsidRDefault="00000000" w:rsidRPr="00000000" w14:paraId="0000004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Критерии оценки: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умение осуществить перевод денежных средств с оформлением всех необходимых документов, оформление кассовых документов по приему и выдаче денежной наличности в валюте Российской Федерации и иностранной валюте, осуществление правильного алгоритма действий кассовых сотрудников банка, грамотное планирование своей работы, оценка сроков исполнения, продумывание алгоритма действий.</w:t>
      </w:r>
    </w:p>
    <w:p w:rsidR="00000000" w:rsidDel="00000000" w:rsidP="00000000" w:rsidRDefault="00000000" w:rsidRPr="00000000" w14:paraId="0000004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Модуль 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Организация кредитной работы: </w:t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 необходимо провести переговоры с клиентом по вопросам кредитования и осуществить выдачу кредита.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Участник должен уметь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оформлять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   кредитные  договоры; проводить оценку и анализ финансового положения заемщика (юридического лица) и технико-экономическое обоснование кредита; определять платежеспособность физических лиц; проверять полноту и подлинность документов заемщика для получения кредита,  составлять заключение о возможности предоставления кредита, рассчитывать максимальную сумму кредита, составлять график платежей по кредиту и процентам,  оформлять   комплект документов на открытие счетов и выдачу кредитов различных видов; формировать кредитные  дела клиентов.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Подробная информация о заемщике и его потребностях участники получают перед выполнением задания.</w:t>
      </w:r>
    </w:p>
    <w:p w:rsidR="00000000" w:rsidDel="00000000" w:rsidP="00000000" w:rsidRDefault="00000000" w:rsidRPr="00000000" w14:paraId="0000005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Критерии оценки: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оформление кредитных договоров и сопутствующих документов; оценка и анализ финансового положения заемщика (юридического лица) и технико-экономическое обоснование кредита; определение платежеспособности физических лиц; проверка полноты и подлинности документов заемщика для получения кредита, проверка качества и достаточности обеспечения возвратности кредита; составление графика платежей по кредиту и процентам, формирование кредитных дел клиентов; расчет суммы формируемого резерва.</w:t>
      </w:r>
    </w:p>
    <w:p w:rsidR="00000000" w:rsidDel="00000000" w:rsidP="00000000" w:rsidRDefault="00000000" w:rsidRPr="00000000" w14:paraId="00000052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Модуль 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Продажа банковских продуктов и услуг:</w:t>
      </w:r>
    </w:p>
    <w:p w:rsidR="00000000" w:rsidDel="00000000" w:rsidP="00000000" w:rsidRDefault="00000000" w:rsidRPr="00000000" w14:paraId="0000005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 необходимо грамотно, учитывая все правила общения с клиентом, осуществить продажу банковского продукта, провести кросс-продажу. Знать процедуру, условия, порядок оформления продажи и стоимости оказания банковских продуктов и услуг. Конкретный банковский продукт будет представлен участникам перед выполнением задания.</w:t>
      </w:r>
    </w:p>
    <w:p w:rsidR="00000000" w:rsidDel="00000000" w:rsidP="00000000" w:rsidRDefault="00000000" w:rsidRPr="00000000" w14:paraId="0000005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Критерии оценки: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подбор необходимого клиенту банковского продукта (услуги), оформление продажи банковского продукта (услуги), проведение необходимых расчетов, осуществление коммуникации с клиентом, работа с   банковскими документами, владение средствами оргтехники.</w:t>
      </w:r>
    </w:p>
    <w:p w:rsidR="00000000" w:rsidDel="00000000" w:rsidP="00000000" w:rsidRDefault="00000000" w:rsidRPr="00000000" w14:paraId="00000055">
      <w:pPr>
        <w:pStyle w:val="Heading2"/>
        <w:spacing w:after="0" w:before="0" w:line="276" w:lineRule="auto"/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spacing w:after="0" w:before="0" w:line="276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Выбор банка проводится по жеребьевке Главным экспертом.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Информация о банке для участников и экспертов доступна на официальном Интернет-ресурсе банка www.официальный сайта банка.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Сценарий для актеров, исполняющих роль клиента банка высылается Главному эксперту вместе с заданием. Участников знакомить с данным документом запрещено, участники узнают контекст заданий непосредственно перед их выполнением.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презентации ответов участников заместитель главного эксперта (или волонтер) выводит всех участников в «комнату участников» и приглашает по одному на площадку для ответа.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Критерии оценки.</w:t>
      </w:r>
    </w:p>
    <w:p w:rsidR="00000000" w:rsidDel="00000000" w:rsidP="00000000" w:rsidRDefault="00000000" w:rsidRPr="00000000" w14:paraId="0000005C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2.</w:t>
      </w:r>
    </w:p>
    <w:tbl>
      <w:tblPr>
        <w:tblStyle w:val="Table2"/>
        <w:tblW w:w="100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4429"/>
        <w:gridCol w:w="1920"/>
        <w:gridCol w:w="1801"/>
        <w:gridCol w:w="1393"/>
        <w:tblGridChange w:id="0">
          <w:tblGrid>
            <w:gridCol w:w="510"/>
            <w:gridCol w:w="4429"/>
            <w:gridCol w:w="1920"/>
            <w:gridCol w:w="1801"/>
            <w:gridCol w:w="1393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shd w:fill="4f81bd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Критерий</w:t>
            </w:r>
          </w:p>
        </w:tc>
        <w:tc>
          <w:tcPr>
            <w:gridSpan w:val="3"/>
            <w:shd w:fill="4f81bd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Баллы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shd w:fill="4f81bd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Судейские аспекты</w:t>
            </w:r>
          </w:p>
        </w:tc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Объективная оценка</w:t>
            </w:r>
          </w:p>
        </w:tc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Общая оценка</w:t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Консультирование клиентов, сервис, презентация банковских продуктов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 платежей и расчетно-кассовое обслуживание клиентов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кредитной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17365d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Продажа банковских продуктов и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f81bd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pgSz w:h="16838" w:w="11906" w:orient="portrait"/>
      <w:pgMar w:bottom="1134" w:top="536" w:left="1134" w:right="709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063.0" w:type="dxa"/>
      <w:jc w:val="center"/>
      <w:tblLayout w:type="fixed"/>
      <w:tblLook w:val="0400"/>
    </w:tblPr>
    <w:tblGrid>
      <w:gridCol w:w="6224"/>
      <w:gridCol w:w="3839"/>
      <w:tblGridChange w:id="0">
        <w:tblGrid>
          <w:gridCol w:w="6224"/>
          <w:gridCol w:w="3839"/>
        </w:tblGrid>
      </w:tblGridChange>
    </w:tblGrid>
    <w:tr>
      <w:trPr>
        <w:cantSplit w:val="0"/>
        <w:trHeight w:val="115" w:hRule="atLeast"/>
        <w:tblHeader w:val="0"/>
      </w:trPr>
      <w:tc>
        <w:tcPr>
          <w:shd w:fill="c00000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c00000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Copyright © «Ворлдскиллс Россия» (Банковское дело)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77"/>
              <w:tab w:val="right" w:pos="9355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4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4635500</wp:posOffset>
          </wp:positionH>
          <wp:positionV relativeFrom="margin">
            <wp:posOffset>-584199</wp:posOffset>
          </wp:positionV>
          <wp:extent cx="1905000" cy="1394460"/>
          <wp:effectExtent b="0" l="0" r="0" t="0"/>
          <wp:wrapSquare wrapText="bothSides" distB="0" distT="0" distL="114300" distR="114300"/>
          <wp:docPr descr="C:\Users\A.Platko\AppData\Local\Microsoft\Windows\INetCache\Content.Word\lands(red).png" id="19" name="image3.png"/>
          <a:graphic>
            <a:graphicData uri="http://schemas.openxmlformats.org/drawingml/2006/picture">
              <pic:pic>
                <pic:nvPicPr>
                  <pic:cNvPr descr="C:\Users\A.Platko\AppData\Local\Microsoft\Windows\INetCache\Content.Word\lands(red).png" id="0" name="image3.png"/>
                  <pic:cNvPicPr preferRelativeResize="0"/>
                </pic:nvPicPr>
                <pic:blipFill>
                  <a:blip r:embed="rId1"/>
                  <a:srcRect b="0" l="0" r="36238" t="0"/>
                  <a:stretch>
                    <a:fillRect/>
                  </a:stretch>
                </pic:blipFill>
                <pic:spPr>
                  <a:xfrm>
                    <a:off x="0" y="0"/>
                    <a:ext cx="1905000" cy="1394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5775960</wp:posOffset>
          </wp:positionH>
          <wp:positionV relativeFrom="paragraph">
            <wp:posOffset>-97789</wp:posOffset>
          </wp:positionV>
          <wp:extent cx="952500" cy="687070"/>
          <wp:effectExtent b="0" l="0" r="0" t="0"/>
          <wp:wrapTopAndBottom distB="0" distT="0"/>
          <wp:docPr id="2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35286" t="0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40" w:lin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a" w:default="1">
    <w:name w:val="Normal"/>
    <w:qFormat w:val="1"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 w:val="1"/>
    <w:rsid w:val="000A1DA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qFormat w:val="1"/>
    <w:rsid w:val="00BF6513"/>
    <w:pPr>
      <w:keepNext w:val="1"/>
      <w:spacing w:after="120" w:before="240" w:line="240" w:lineRule="auto"/>
      <w:outlineLvl w:val="1"/>
    </w:pPr>
    <w:rPr>
      <w:rFonts w:ascii="Arial" w:hAnsi="Arial"/>
      <w:b w:val="1"/>
      <w:i w:val="1"/>
      <w:szCs w:val="24"/>
      <w:lang w:eastAsia="en-US" w:val="en-GB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Базовый"/>
    <w:rsid w:val="00DF16BA"/>
    <w:pPr>
      <w:widowControl w:val="0"/>
      <w:suppressAutoHyphens w:val="1"/>
      <w:spacing w:after="200" w:line="276" w:lineRule="auto"/>
    </w:pPr>
    <w:rPr>
      <w:rFonts w:ascii="Liberation Serif" w:cs="Lohit Hindi" w:hAnsi="Liberation Serif"/>
      <w:sz w:val="24"/>
      <w:szCs w:val="24"/>
      <w:lang w:bidi="hi-IN" w:eastAsia="zh-CN"/>
    </w:rPr>
  </w:style>
  <w:style w:type="paragraph" w:styleId="a4">
    <w:name w:val="Normal (Web)"/>
    <w:basedOn w:val="a"/>
    <w:uiPriority w:val="99"/>
    <w:rsid w:val="00DF16BA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apple-converted-space" w:customStyle="1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 w:val="1"/>
    <w:rsid w:val="00441ACD"/>
    <w:pPr>
      <w:ind w:left="720"/>
      <w:contextualSpacing w:val="1"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rsid w:val="00571A57"/>
    <w:rPr>
      <w:rFonts w:ascii="Tahoma" w:cs="Tahoma" w:hAnsi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styleId="AB630D60F59F403CB531B268FE76FA17" w:customStyle="1">
    <w:name w:val="AB630D60F59F403CB531B268FE76FA17"/>
    <w:rsid w:val="00676937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</w:rPr>
  </w:style>
  <w:style w:type="character" w:styleId="20" w:customStyle="1">
    <w:name w:val="Заголовок 2 Знак"/>
    <w:basedOn w:val="a0"/>
    <w:link w:val="2"/>
    <w:rsid w:val="00BF6513"/>
    <w:rPr>
      <w:rFonts w:ascii="Arial" w:hAnsi="Arial"/>
      <w:b w:val="1"/>
      <w:i w:val="1"/>
      <w:sz w:val="22"/>
      <w:szCs w:val="24"/>
      <w:lang w:eastAsia="en-US" w:val="en-GB"/>
    </w:rPr>
  </w:style>
  <w:style w:type="character" w:styleId="ac" w:customStyle="1">
    <w:name w:val="Основной текст_"/>
    <w:basedOn w:val="a0"/>
    <w:link w:val="4"/>
    <w:rsid w:val="00BF6513"/>
    <w:rPr>
      <w:rFonts w:ascii="Calibri" w:cs="Calibri" w:eastAsia="Calibri" w:hAnsi="Calibri"/>
      <w:spacing w:val="2"/>
      <w:shd w:color="auto" w:fill="ffffff" w:val="clear"/>
    </w:rPr>
  </w:style>
  <w:style w:type="character" w:styleId="11" w:customStyle="1">
    <w:name w:val="Основной текст1"/>
    <w:basedOn w:val="ac"/>
    <w:rsid w:val="00BF6513"/>
    <w:rPr>
      <w:rFonts w:ascii="Calibri" w:cs="Calibri" w:eastAsia="Calibri" w:hAnsi="Calibri"/>
      <w:color w:val="000000"/>
      <w:spacing w:val="2"/>
      <w:w w:val="100"/>
      <w:position w:val="0"/>
      <w:shd w:color="auto" w:fill="ffffff" w:val="clear"/>
      <w:lang w:val="ru-RU"/>
    </w:rPr>
  </w:style>
  <w:style w:type="paragraph" w:styleId="4" w:customStyle="1">
    <w:name w:val="Основной текст4"/>
    <w:basedOn w:val="a"/>
    <w:link w:val="ac"/>
    <w:rsid w:val="00BF6513"/>
    <w:pPr>
      <w:widowControl w:val="0"/>
      <w:shd w:color="auto" w:fill="ffffff" w:val="clear"/>
      <w:spacing w:after="240" w:before="420" w:line="298" w:lineRule="exact"/>
      <w:ind w:hanging="360"/>
      <w:jc w:val="both"/>
    </w:pPr>
    <w:rPr>
      <w:rFonts w:cs="Calibri" w:eastAsia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subtitle2" w:customStyle="1">
    <w:name w:val="Doc subtitle2"/>
    <w:basedOn w:val="a"/>
    <w:link w:val="Docsubtitle2Char"/>
    <w:qFormat w:val="1"/>
    <w:rsid w:val="006151AB"/>
    <w:pPr>
      <w:spacing w:after="0" w:line="240" w:lineRule="auto"/>
    </w:pPr>
    <w:rPr>
      <w:rFonts w:ascii="Arial" w:hAnsi="Arial" w:cstheme="minorBidi" w:eastAsiaTheme="minorHAnsi"/>
      <w:sz w:val="28"/>
      <w:szCs w:val="28"/>
      <w:lang w:eastAsia="en-US" w:val="en-GB"/>
    </w:rPr>
  </w:style>
  <w:style w:type="character" w:styleId="Docsubtitle2Char" w:customStyle="1">
    <w:name w:val="Doc subtitle2 Char"/>
    <w:basedOn w:val="a0"/>
    <w:link w:val="Docsubtitle2"/>
    <w:rsid w:val="006151AB"/>
    <w:rPr>
      <w:rFonts w:ascii="Arial" w:hAnsi="Arial" w:cstheme="minorBidi" w:eastAsiaTheme="minorHAnsi"/>
      <w:sz w:val="28"/>
      <w:szCs w:val="28"/>
      <w:lang w:eastAsia="en-US" w:val="en-GB"/>
    </w:rPr>
  </w:style>
  <w:style w:type="paragraph" w:styleId="Doctitle" w:customStyle="1">
    <w:name w:val="Doc title"/>
    <w:basedOn w:val="a"/>
    <w:rsid w:val="006151AB"/>
    <w:pPr>
      <w:spacing w:after="0" w:line="240" w:lineRule="auto"/>
    </w:pPr>
    <w:rPr>
      <w:rFonts w:ascii="Arial" w:hAnsi="Arial"/>
      <w:b w:val="1"/>
      <w:sz w:val="40"/>
      <w:szCs w:val="24"/>
      <w:lang w:eastAsia="en-US" w:val="en-GB"/>
    </w:rPr>
  </w:style>
  <w:style w:type="paragraph" w:styleId="western" w:customStyle="1">
    <w:name w:val="western"/>
    <w:basedOn w:val="a"/>
    <w:rsid w:val="00D217BC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 w:val="1"/>
    <w:unhideWhenUsed w:val="1"/>
    <w:rsid w:val="00CF261F"/>
    <w:rPr>
      <w:sz w:val="16"/>
      <w:szCs w:val="16"/>
    </w:rPr>
  </w:style>
  <w:style w:type="paragraph" w:styleId="af">
    <w:name w:val="annotation text"/>
    <w:basedOn w:val="a"/>
    <w:link w:val="af0"/>
    <w:semiHidden w:val="1"/>
    <w:unhideWhenUsed w:val="1"/>
    <w:rsid w:val="00CF261F"/>
    <w:pPr>
      <w:spacing w:line="240" w:lineRule="auto"/>
    </w:pPr>
    <w:rPr>
      <w:sz w:val="20"/>
      <w:szCs w:val="20"/>
    </w:rPr>
  </w:style>
  <w:style w:type="character" w:styleId="af0" w:customStyle="1">
    <w:name w:val="Текст примечания Знак"/>
    <w:basedOn w:val="a0"/>
    <w:link w:val="af"/>
    <w:semiHidden w:val="1"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 w:val="1"/>
    <w:unhideWhenUsed w:val="1"/>
    <w:rsid w:val="00CF261F"/>
    <w:rPr>
      <w:b w:val="1"/>
      <w:bCs w:val="1"/>
    </w:rPr>
  </w:style>
  <w:style w:type="character" w:styleId="af2" w:customStyle="1">
    <w:name w:val="Тема примечания Знак"/>
    <w:basedOn w:val="af0"/>
    <w:link w:val="af1"/>
    <w:semiHidden w:val="1"/>
    <w:rsid w:val="00CF261F"/>
    <w:rPr>
      <w:rFonts w:ascii="Calibri" w:hAnsi="Calibri"/>
      <w:b w:val="1"/>
      <w:bCs w:val="1"/>
    </w:rPr>
  </w:style>
  <w:style w:type="character" w:styleId="10" w:customStyle="1">
    <w:name w:val="Заголовок 1 Знак"/>
    <w:basedOn w:val="a0"/>
    <w:link w:val="1"/>
    <w:rsid w:val="000A1DA8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af3">
    <w:name w:val="TOC Heading"/>
    <w:basedOn w:val="1"/>
    <w:next w:val="a"/>
    <w:uiPriority w:val="39"/>
    <w:unhideWhenUsed w:val="1"/>
    <w:qFormat w:val="1"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 w:val="1"/>
    <w:rsid w:val="000A1DA8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f5" w:customStyle="1">
    <w:name w:val="Заголовок Знак"/>
    <w:basedOn w:val="a0"/>
    <w:link w:val="af4"/>
    <w:rsid w:val="000A1DA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 w:val="1"/>
    <w:uiPriority w:val="39"/>
    <w:unhideWhenUsed w:val="1"/>
    <w:rsid w:val="000A1DA8"/>
    <w:pPr>
      <w:spacing w:after="0" w:before="240"/>
    </w:pPr>
    <w:rPr>
      <w:rFonts w:asciiTheme="minorHAnsi" w:cstheme="minorHAnsi" w:hAnsiTheme="minorHAnsi"/>
      <w:b w:val="1"/>
      <w:bCs w:val="1"/>
      <w:sz w:val="20"/>
      <w:szCs w:val="20"/>
    </w:rPr>
  </w:style>
  <w:style w:type="paragraph" w:styleId="12">
    <w:name w:val="toc 1"/>
    <w:basedOn w:val="a"/>
    <w:next w:val="a"/>
    <w:autoRedefine w:val="1"/>
    <w:uiPriority w:val="39"/>
    <w:unhideWhenUsed w:val="1"/>
    <w:rsid w:val="000A1DA8"/>
    <w:pPr>
      <w:spacing w:after="0" w:before="360"/>
    </w:pPr>
    <w:rPr>
      <w:rFonts w:asciiTheme="majorHAnsi" w:hAnsiTheme="majorHAnsi"/>
      <w:b w:val="1"/>
      <w:bCs w:val="1"/>
      <w:caps w:val="1"/>
      <w:sz w:val="24"/>
      <w:szCs w:val="24"/>
    </w:rPr>
  </w:style>
  <w:style w:type="paragraph" w:styleId="3">
    <w:name w:val="toc 3"/>
    <w:basedOn w:val="a"/>
    <w:next w:val="a"/>
    <w:autoRedefine w:val="1"/>
    <w:uiPriority w:val="39"/>
    <w:unhideWhenUsed w:val="1"/>
    <w:rsid w:val="000A1DA8"/>
    <w:pPr>
      <w:spacing w:after="0"/>
      <w:ind w:left="220"/>
    </w:pPr>
    <w:rPr>
      <w:rFonts w:asciiTheme="minorHAnsi" w:cstheme="minorHAnsi" w:hAnsiTheme="minorHAnsi"/>
      <w:sz w:val="20"/>
      <w:szCs w:val="20"/>
    </w:rPr>
  </w:style>
  <w:style w:type="character" w:styleId="af6">
    <w:name w:val="Hyperlink"/>
    <w:basedOn w:val="a0"/>
    <w:uiPriority w:val="99"/>
    <w:unhideWhenUsed w:val="1"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 w:val="1"/>
    <w:unhideWhenUsed w:val="1"/>
    <w:rsid w:val="00AE1B88"/>
    <w:pPr>
      <w:spacing w:after="0"/>
      <w:ind w:left="440"/>
    </w:pPr>
    <w:rPr>
      <w:rFonts w:asciiTheme="minorHAnsi" w:cstheme="minorHAnsi" w:hAnsiTheme="minorHAnsi"/>
      <w:sz w:val="20"/>
      <w:szCs w:val="20"/>
    </w:rPr>
  </w:style>
  <w:style w:type="paragraph" w:styleId="5">
    <w:name w:val="toc 5"/>
    <w:basedOn w:val="a"/>
    <w:next w:val="a"/>
    <w:autoRedefine w:val="1"/>
    <w:unhideWhenUsed w:val="1"/>
    <w:rsid w:val="00AE1B88"/>
    <w:pPr>
      <w:spacing w:after="0"/>
      <w:ind w:left="660"/>
    </w:pPr>
    <w:rPr>
      <w:rFonts w:asciiTheme="minorHAnsi" w:cstheme="minorHAnsi" w:hAnsiTheme="minorHAnsi"/>
      <w:sz w:val="20"/>
      <w:szCs w:val="20"/>
    </w:rPr>
  </w:style>
  <w:style w:type="paragraph" w:styleId="6">
    <w:name w:val="toc 6"/>
    <w:basedOn w:val="a"/>
    <w:next w:val="a"/>
    <w:autoRedefine w:val="1"/>
    <w:unhideWhenUsed w:val="1"/>
    <w:rsid w:val="00AE1B88"/>
    <w:pPr>
      <w:spacing w:after="0"/>
      <w:ind w:left="880"/>
    </w:pPr>
    <w:rPr>
      <w:rFonts w:asciiTheme="minorHAnsi" w:cstheme="minorHAnsi" w:hAnsiTheme="minorHAnsi"/>
      <w:sz w:val="20"/>
      <w:szCs w:val="20"/>
    </w:rPr>
  </w:style>
  <w:style w:type="paragraph" w:styleId="7">
    <w:name w:val="toc 7"/>
    <w:basedOn w:val="a"/>
    <w:next w:val="a"/>
    <w:autoRedefine w:val="1"/>
    <w:unhideWhenUsed w:val="1"/>
    <w:rsid w:val="00AE1B88"/>
    <w:pPr>
      <w:spacing w:after="0"/>
      <w:ind w:left="1100"/>
    </w:pPr>
    <w:rPr>
      <w:rFonts w:asciiTheme="minorHAnsi" w:cstheme="minorHAnsi" w:hAnsiTheme="minorHAnsi"/>
      <w:sz w:val="20"/>
      <w:szCs w:val="20"/>
    </w:rPr>
  </w:style>
  <w:style w:type="paragraph" w:styleId="8">
    <w:name w:val="toc 8"/>
    <w:basedOn w:val="a"/>
    <w:next w:val="a"/>
    <w:autoRedefine w:val="1"/>
    <w:unhideWhenUsed w:val="1"/>
    <w:rsid w:val="00AE1B88"/>
    <w:pPr>
      <w:spacing w:after="0"/>
      <w:ind w:left="1320"/>
    </w:pPr>
    <w:rPr>
      <w:rFonts w:asciiTheme="minorHAnsi" w:cstheme="minorHAnsi" w:hAnsiTheme="minorHAnsi"/>
      <w:sz w:val="20"/>
      <w:szCs w:val="20"/>
    </w:rPr>
  </w:style>
  <w:style w:type="paragraph" w:styleId="9">
    <w:name w:val="toc 9"/>
    <w:basedOn w:val="a"/>
    <w:next w:val="a"/>
    <w:autoRedefine w:val="1"/>
    <w:unhideWhenUsed w:val="1"/>
    <w:rsid w:val="00AE1B88"/>
    <w:pPr>
      <w:spacing w:after="0"/>
      <w:ind w:left="1540"/>
    </w:pPr>
    <w:rPr>
      <w:rFonts w:asciiTheme="minorHAnsi" w:cstheme="minorHAnsi" w:hAnsiTheme="minorHAnsi"/>
      <w:sz w:val="20"/>
      <w:szCs w:val="20"/>
    </w:rPr>
  </w:style>
  <w:style w:type="paragraph" w:styleId="Default" w:customStyle="1">
    <w:name w:val="Default"/>
    <w:rsid w:val="00C87D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FJXoMJab0Z57bMM6jFJSxnK7Q==">AMUW2mXHIrsykY41DJ2FhTCPmjlg1+eRETTHzQDHLvud9hfDg9SCuXsO6XStE0xZf/IuNe5rS+Vmi2Nlc9vp2BFSiecPu/7+Eu+xy4GEWUi1A+x3RaFREoQSBN+L/E4+t2RW6hzlN0TJdtInki/Wmx4JIzZXW0UT+/FcIHTSgBr7czD5lXgHpgs1halFwfzBK0b0TmBe0WSg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2021-08-07T16:03:00Z</dcterms:created>
  <dc:creator>Copyright © «Ворлдскиллс Россия» (Банковское дело)</dc:creator>
</cp:coreProperties>
</file>