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4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дополнительные образовательные услуги (ФИО, № и дата договора). НДС не облагается.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дополнительные образовательные услуги (ФИО, № и дата договора). НДС не облагается.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image000.png" Type="http://schemas.openxmlformats.org/officeDocument/2006/relationships/image" Target="media/image000.png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03D5EEAD935949A74A0A8A10C85571" ma:contentTypeVersion="0" ma:contentTypeDescription="Создание документа." ma:contentTypeScope="" ma:versionID="e4c5a6c8369003e19b92656f15f948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10698-9FA5-41C6-BFBD-793FBDE9C991}"/>
</file>

<file path=customXml/itemProps2.xml><?xml version="1.0" encoding="utf-8"?>
<ds:datastoreItem xmlns:ds="http://schemas.openxmlformats.org/officeDocument/2006/customXml" ds:itemID="{95973202-6FAD-4D99-858B-13B6D24BB470}"/>
</file>

<file path=customXml/itemProps3.xml><?xml version="1.0" encoding="utf-8"?>
<ds:datastoreItem xmlns:ds="http://schemas.openxmlformats.org/officeDocument/2006/customXml" ds:itemID="{524720D0-00DD-4F6A-AF19-3921A1036A6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0x0101005B03D5EEAD935949A74A0A8A10C85571</vt:lpwstr>
  </property>
</Properties>
</file>