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17" w:rsidRPr="00751D17" w:rsidRDefault="00886F77" w:rsidP="00751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1D17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Strategic Public Finance</w:t>
      </w:r>
    </w:p>
    <w:p w:rsidR="00751D17" w:rsidRPr="00751D17" w:rsidRDefault="00751D17" w:rsidP="00751D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i/>
          <w:sz w:val="24"/>
          <w:szCs w:val="24"/>
          <w:lang w:val="en-US"/>
        </w:rPr>
        <w:t>B 1.2.5.2.1</w:t>
      </w:r>
    </w:p>
    <w:p w:rsidR="004156D2" w:rsidRPr="00751D17" w:rsidRDefault="004156D2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>Degree: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1D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aster</w:t>
      </w:r>
    </w:p>
    <w:p w:rsidR="00886F77" w:rsidRPr="00751D17" w:rsidRDefault="004156D2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>Year: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F77" w:rsidRPr="00751D1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156D2" w:rsidRPr="00751D17" w:rsidRDefault="004156D2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>Semester: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1D17">
        <w:rPr>
          <w:rFonts w:ascii="Times New Roman" w:hAnsi="Times New Roman" w:cs="Times New Roman"/>
          <w:sz w:val="24"/>
          <w:szCs w:val="24"/>
          <w:lang w:val="en-US"/>
        </w:rPr>
        <w:t>Fall</w:t>
      </w:r>
    </w:p>
    <w:p w:rsidR="004156D2" w:rsidRPr="00751D17" w:rsidRDefault="004156D2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>General workload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: 3 ECTS credits, 108 hours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1D17" w:rsidRDefault="00751D17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F77" w:rsidRPr="00751D17" w:rsidRDefault="004156D2" w:rsidP="00751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Goals and objectives of the course     </w:t>
      </w:r>
      <w:r w:rsidR="000F0192" w:rsidRPr="00751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86F77" w:rsidRPr="00751D17" w:rsidRDefault="000F0192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The course goal is to </w:t>
      </w:r>
      <w:r w:rsidR="00D3207F" w:rsidRPr="00751D17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master students acquire knowledge of </w:t>
      </w:r>
      <w:r w:rsidR="00BB3BE2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the medium-term and long-term budget planning and the impact made by it on the social and economic development of various countries.  </w:t>
      </w:r>
    </w:p>
    <w:p w:rsidR="004156D2" w:rsidRPr="00751D17" w:rsidRDefault="004156D2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The objectives of the course are the following:  </w:t>
      </w:r>
    </w:p>
    <w:p w:rsidR="00886F77" w:rsidRPr="00751D17" w:rsidRDefault="00BB3BE2" w:rsidP="00751D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To describe a range of best practices gained in various countries in medium-term and long-term budget planning </w:t>
      </w:r>
      <w:r w:rsidR="00D3207F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76ABD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expanded balance sheet compilation; 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F77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ABD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6F77" w:rsidRPr="00751D17" w:rsidRDefault="002C3CEF" w:rsidP="00751D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To ensure understanding of and detailed knowledge of </w:t>
      </w:r>
      <w:r w:rsidR="00676ABD" w:rsidRPr="00751D17">
        <w:rPr>
          <w:rFonts w:ascii="Times New Roman" w:hAnsi="Times New Roman" w:cs="Times New Roman"/>
          <w:sz w:val="24"/>
          <w:szCs w:val="24"/>
          <w:lang w:val="en-US"/>
        </w:rPr>
        <w:t>methods of forecasting of key macro</w:t>
      </w:r>
      <w:r w:rsidR="009F38D4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-assumptions in budget planning, </w:t>
      </w:r>
      <w:r w:rsidR="00B54FF3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consensus and non-typical indicators in the budget sector; 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ABD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FF3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6F77" w:rsidRPr="00751D17" w:rsidRDefault="00B54FF3" w:rsidP="00751D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To identify the impact made by the budget planning on the medium-term and long-term social and economic development of the country at large, of certain elements of the public finance system and budget areas.  </w:t>
      </w:r>
    </w:p>
    <w:p w:rsidR="00751D17" w:rsidRDefault="00751D17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3CEF" w:rsidRPr="00751D17" w:rsidRDefault="002C3CEF" w:rsidP="00751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didactic units 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Retrospective and long-term trends </w:t>
      </w:r>
      <w:r w:rsidR="00973872" w:rsidRPr="00751D17">
        <w:rPr>
          <w:rFonts w:ascii="Times New Roman" w:hAnsi="Times New Roman" w:cs="Times New Roman"/>
          <w:sz w:val="24"/>
          <w:szCs w:val="24"/>
          <w:lang w:val="en-US"/>
        </w:rPr>
        <w:t>related to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conventional parameters of public budgeting system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Unconventional measures </w:t>
      </w:r>
      <w:r w:rsidR="00973872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public sector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Balance </w:t>
      </w:r>
      <w:r w:rsidR="00973872" w:rsidRPr="00751D17">
        <w:rPr>
          <w:rFonts w:ascii="Times New Roman" w:hAnsi="Times New Roman" w:cs="Times New Roman"/>
          <w:sz w:val="24"/>
          <w:szCs w:val="24"/>
          <w:lang w:val="en-US"/>
        </w:rPr>
        <w:t>sheet in the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public sector, nominal and shadow assets and liabilities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>Key soci</w:t>
      </w:r>
      <w:r w:rsidR="00973872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al and 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economic assumptions for m</w:t>
      </w:r>
      <w:r w:rsidR="00973872" w:rsidRPr="00751D17">
        <w:rPr>
          <w:rFonts w:ascii="Times New Roman" w:hAnsi="Times New Roman" w:cs="Times New Roman"/>
          <w:sz w:val="24"/>
          <w:szCs w:val="24"/>
          <w:lang w:val="en-US"/>
        </w:rPr>
        <w:t>edium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- and long-term public budgets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>M</w:t>
      </w:r>
      <w:r w:rsidR="00460FA9" w:rsidRPr="00751D17">
        <w:rPr>
          <w:rFonts w:ascii="Times New Roman" w:hAnsi="Times New Roman" w:cs="Times New Roman"/>
          <w:sz w:val="24"/>
          <w:szCs w:val="24"/>
          <w:lang w:val="en-US"/>
        </w:rPr>
        <w:t>edium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- and long-term impact of public budget </w:t>
      </w:r>
      <w:r w:rsidR="00460FA9" w:rsidRPr="00751D17">
        <w:rPr>
          <w:rFonts w:ascii="Times New Roman" w:hAnsi="Times New Roman" w:cs="Times New Roman"/>
          <w:sz w:val="24"/>
          <w:szCs w:val="24"/>
          <w:lang w:val="en-US"/>
        </w:rPr>
        <w:t>upon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economic development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>Public debt sustainability and sovereign defaults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Growing </w:t>
      </w:r>
      <w:r w:rsidR="00460FA9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non-typical 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sources of government revenues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>Aging population and social expenditure reforms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Sovereign funds </w:t>
      </w:r>
      <w:r w:rsidR="00460FA9" w:rsidRPr="00751D1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economic cycles and structural disproportions</w:t>
      </w:r>
    </w:p>
    <w:p w:rsidR="00886F77" w:rsidRPr="00751D17" w:rsidRDefault="00886F77" w:rsidP="00751D1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ab/>
        <w:t>State</w:t>
      </w:r>
      <w:r w:rsidR="00460FA9" w:rsidRPr="00751D1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run enterprises and monopolies as alternatives to public budgets</w:t>
      </w:r>
    </w:p>
    <w:p w:rsidR="00751D17" w:rsidRDefault="00751D17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2DA" w:rsidRPr="00751D17" w:rsidRDefault="004272DA" w:rsidP="00751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the discipline within the curriculum  </w:t>
      </w:r>
    </w:p>
    <w:p w:rsidR="004272DA" w:rsidRPr="00751D17" w:rsidRDefault="004272DA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The course is a</w:t>
      </w:r>
      <w:r w:rsidR="00460FA9" w:rsidRPr="00751D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elective in the curriculum of master program 38.04.08 in Finance and Lending (concentration: Public Financial Management). </w:t>
      </w:r>
    </w:p>
    <w:p w:rsidR="00751D17" w:rsidRDefault="00751D17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F77" w:rsidRPr="00751D17" w:rsidRDefault="009D1B7F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>Upon completing the course, the students should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:    </w:t>
      </w:r>
    </w:p>
    <w:p w:rsidR="00886F77" w:rsidRPr="00751D17" w:rsidRDefault="009D1B7F" w:rsidP="00751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i/>
          <w:sz w:val="24"/>
          <w:szCs w:val="24"/>
          <w:lang w:val="en-US"/>
        </w:rPr>
        <w:t>Know:</w:t>
      </w:r>
    </w:p>
    <w:p w:rsidR="00886F77" w:rsidRPr="00751D17" w:rsidRDefault="009D1B7F" w:rsidP="00751D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The key macro-assumptions and medium- and long-term public budget indicators;  </w:t>
      </w:r>
    </w:p>
    <w:p w:rsidR="00886F77" w:rsidRPr="00751D17" w:rsidRDefault="00AA4680" w:rsidP="00751D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Public sector key indicators’ h</w:t>
      </w:r>
      <w:r w:rsidR="009D1B7F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istory and development prospects 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and expanded government balance sheet items;  </w:t>
      </w:r>
    </w:p>
    <w:p w:rsidR="00886F77" w:rsidRPr="00751D17" w:rsidRDefault="00AA4680" w:rsidP="00751D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The key historic examples of sovereign default, their fundamental causes and triggers, the way the causes and triggers </w:t>
      </w:r>
      <w:r w:rsidR="00061A28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behave today;  </w:t>
      </w:r>
    </w:p>
    <w:p w:rsidR="00886F77" w:rsidRPr="00751D17" w:rsidRDefault="00061A28" w:rsidP="00751D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The key areas of reforms related to budget revenue and expenditure;  </w:t>
      </w:r>
    </w:p>
    <w:p w:rsidR="009D1B7F" w:rsidRPr="00751D17" w:rsidRDefault="00061A28" w:rsidP="00751D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The composition and purpose of sovereign funds, state-run enterprises and monopolies;  </w:t>
      </w:r>
    </w:p>
    <w:p w:rsidR="00886F77" w:rsidRPr="00751D17" w:rsidRDefault="00061A28" w:rsidP="00751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1D1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751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D17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751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D1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751D17">
        <w:rPr>
          <w:rFonts w:ascii="Times New Roman" w:hAnsi="Times New Roman" w:cs="Times New Roman"/>
          <w:i/>
          <w:sz w:val="24"/>
          <w:szCs w:val="24"/>
        </w:rPr>
        <w:t>:</w:t>
      </w:r>
    </w:p>
    <w:p w:rsidR="00886F77" w:rsidRPr="00751D17" w:rsidRDefault="00BA350A" w:rsidP="00751D1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Search online for the data associated with the G20 countries’ medium-term and long-term budgets, examine the key indicators and make conclusions concerning </w:t>
      </w:r>
      <w:r w:rsidR="004777F9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sovereign credit ratings; 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7F9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6F77" w:rsidRPr="00751D17" w:rsidRDefault="004777F9" w:rsidP="00751D1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Professionally examine documents of the G20 countries’ financial institutions related to budget reform;   </w:t>
      </w:r>
    </w:p>
    <w:p w:rsidR="00886F77" w:rsidRPr="00751D17" w:rsidRDefault="008F7BA2" w:rsidP="00751D1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Search for data related to G20 countries’ government assets in state-run enterprises and sovereign funds;  </w:t>
      </w:r>
    </w:p>
    <w:p w:rsidR="00886F77" w:rsidRPr="00751D17" w:rsidRDefault="008F7BA2" w:rsidP="00751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Have: </w:t>
      </w:r>
      <w:r w:rsidR="00910760" w:rsidRPr="00751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86F77" w:rsidRPr="00751D17" w:rsidRDefault="008F7BA2" w:rsidP="00751D1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Skills in expanded government balance sheet compilation, </w:t>
      </w:r>
      <w:r w:rsidR="00910760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medium- and long-term budget compilation when interacting with Russia and other countries using dozens of key indicators;  </w:t>
      </w:r>
    </w:p>
    <w:p w:rsidR="00886F77" w:rsidRPr="00751D17" w:rsidRDefault="00910760" w:rsidP="00751D1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Skills in systemic analysis of the countries’ attractiveness for investment and its sovereign bond risks in the medium and long term;  </w:t>
      </w:r>
    </w:p>
    <w:p w:rsidR="00886F77" w:rsidRPr="00751D17" w:rsidRDefault="00910760" w:rsidP="00751D1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="00A04858" w:rsidRPr="00751D17">
        <w:rPr>
          <w:rFonts w:ascii="Times New Roman" w:hAnsi="Times New Roman" w:cs="Times New Roman"/>
          <w:sz w:val="24"/>
          <w:szCs w:val="24"/>
          <w:lang w:val="en-US"/>
        </w:rPr>
        <w:t>lls in handling challenges and discrepancies faced by Russia and other countries within the fiscal policy adjustment requirements usi</w:t>
      </w:r>
      <w:bookmarkStart w:id="0" w:name="_GoBack"/>
      <w:bookmarkEnd w:id="0"/>
      <w:r w:rsidR="00A04858"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ng analogous materials based on strategic budget documents of certain G20 countries.  </w:t>
      </w:r>
    </w:p>
    <w:p w:rsidR="00751D17" w:rsidRDefault="00751D17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5DEE" w:rsidRPr="00751D17" w:rsidRDefault="00765DEE" w:rsidP="00751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structure </w:t>
      </w:r>
    </w:p>
    <w:p w:rsidR="00765DEE" w:rsidRPr="00751D17" w:rsidRDefault="00765DEE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Express testing   (15 points), examination of test questions and mini case studies during seminars (15 points), essay (10 points), </w:t>
      </w:r>
      <w:proofErr w:type="gramStart"/>
      <w:r w:rsidRPr="00751D17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proofErr w:type="gramEnd"/>
      <w:r w:rsidRPr="00751D17">
        <w:rPr>
          <w:rFonts w:ascii="Times New Roman" w:hAnsi="Times New Roman" w:cs="Times New Roman"/>
          <w:sz w:val="24"/>
          <w:szCs w:val="24"/>
          <w:lang w:val="en-US"/>
        </w:rPr>
        <w:t xml:space="preserve"> (60 points) (100 points in total).  </w:t>
      </w:r>
    </w:p>
    <w:p w:rsidR="00751D17" w:rsidRDefault="00751D17" w:rsidP="00751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5DEE" w:rsidRPr="00765DEE" w:rsidRDefault="00765DEE" w:rsidP="00751D17">
      <w:pPr>
        <w:spacing w:after="0" w:line="240" w:lineRule="auto"/>
        <w:rPr>
          <w:lang w:val="en-US"/>
        </w:rPr>
      </w:pPr>
      <w:r w:rsidRPr="00751D17">
        <w:rPr>
          <w:rFonts w:ascii="Times New Roman" w:hAnsi="Times New Roman" w:cs="Times New Roman"/>
          <w:b/>
          <w:sz w:val="24"/>
          <w:szCs w:val="24"/>
          <w:lang w:val="en-US"/>
        </w:rPr>
        <w:t>Summative assessment</w:t>
      </w:r>
      <w:r w:rsidRPr="00751D17">
        <w:rPr>
          <w:rFonts w:ascii="Times New Roman" w:hAnsi="Times New Roman" w:cs="Times New Roman"/>
          <w:sz w:val="24"/>
          <w:szCs w:val="24"/>
          <w:lang w:val="en-US"/>
        </w:rPr>
        <w:t>:   pass/fail examination</w:t>
      </w:r>
      <w:r w:rsidRPr="00765DEE">
        <w:rPr>
          <w:lang w:val="en-US"/>
        </w:rPr>
        <w:t xml:space="preserve">   </w:t>
      </w:r>
    </w:p>
    <w:sectPr w:rsidR="00765DEE" w:rsidRPr="0076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09A"/>
    <w:multiLevelType w:val="hybridMultilevel"/>
    <w:tmpl w:val="9ABC960C"/>
    <w:lvl w:ilvl="0" w:tplc="952680E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109"/>
    <w:multiLevelType w:val="hybridMultilevel"/>
    <w:tmpl w:val="D7C6721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BB4"/>
    <w:multiLevelType w:val="hybridMultilevel"/>
    <w:tmpl w:val="64126BD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1485"/>
    <w:multiLevelType w:val="hybridMultilevel"/>
    <w:tmpl w:val="8996CC30"/>
    <w:lvl w:ilvl="0" w:tplc="C23637D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E38A0"/>
    <w:multiLevelType w:val="hybridMultilevel"/>
    <w:tmpl w:val="362E0F28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D49C1"/>
    <w:multiLevelType w:val="hybridMultilevel"/>
    <w:tmpl w:val="6EB2044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0F8D"/>
    <w:multiLevelType w:val="hybridMultilevel"/>
    <w:tmpl w:val="130C016A"/>
    <w:lvl w:ilvl="0" w:tplc="4222945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9228D"/>
    <w:multiLevelType w:val="hybridMultilevel"/>
    <w:tmpl w:val="C2469CAA"/>
    <w:lvl w:ilvl="0" w:tplc="C486D02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77"/>
    <w:rsid w:val="00061A28"/>
    <w:rsid w:val="000F0192"/>
    <w:rsid w:val="00293AD8"/>
    <w:rsid w:val="002C3CEF"/>
    <w:rsid w:val="003B4C68"/>
    <w:rsid w:val="004156D2"/>
    <w:rsid w:val="004272DA"/>
    <w:rsid w:val="00460FA9"/>
    <w:rsid w:val="004777F9"/>
    <w:rsid w:val="0055082F"/>
    <w:rsid w:val="00676ABD"/>
    <w:rsid w:val="00751D17"/>
    <w:rsid w:val="00765DEE"/>
    <w:rsid w:val="00886F77"/>
    <w:rsid w:val="008F7BA2"/>
    <w:rsid w:val="00910760"/>
    <w:rsid w:val="00947854"/>
    <w:rsid w:val="00973872"/>
    <w:rsid w:val="009D1B7F"/>
    <w:rsid w:val="009F38D4"/>
    <w:rsid w:val="00A04858"/>
    <w:rsid w:val="00AA4680"/>
    <w:rsid w:val="00B54FF3"/>
    <w:rsid w:val="00BA350A"/>
    <w:rsid w:val="00BB3BE2"/>
    <w:rsid w:val="00D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15260-B6CF-4243-A5A0-AFC7ECA726B4}"/>
</file>

<file path=customXml/itemProps2.xml><?xml version="1.0" encoding="utf-8"?>
<ds:datastoreItem xmlns:ds="http://schemas.openxmlformats.org/officeDocument/2006/customXml" ds:itemID="{D4466430-4157-4757-AD25-FF218E4CA351}"/>
</file>

<file path=customXml/itemProps3.xml><?xml version="1.0" encoding="utf-8"?>
<ds:datastoreItem xmlns:ds="http://schemas.openxmlformats.org/officeDocument/2006/customXml" ds:itemID="{9D71A52F-1B8B-4F87-80E6-0B7F96F84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2018-08-21T09:03:00Z</dcterms:created>
  <dcterms:modified xsi:type="dcterms:W3CDTF">2018-08-21T09:03:00Z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