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28" w:rsidRDefault="00713010" w:rsidP="00C6392E">
      <w:pPr>
        <w:spacing w:after="0" w:line="240" w:lineRule="auto"/>
        <w:ind w:left="2977" w:hanging="2977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</w:pPr>
      <w:bookmarkStart w:id="0" w:name="_GoBack"/>
      <w:r w:rsidRPr="00C6392E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  <w:t>International Corporate and Entrepreneurial Law</w:t>
      </w:r>
    </w:p>
    <w:bookmarkEnd w:id="0"/>
    <w:p w:rsidR="00C6392E" w:rsidRPr="00C6392E" w:rsidRDefault="00C6392E" w:rsidP="00C6392E">
      <w:pPr>
        <w:spacing w:after="0" w:line="240" w:lineRule="auto"/>
        <w:ind w:left="2977" w:hanging="2977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val="en-US"/>
        </w:rPr>
      </w:pPr>
    </w:p>
    <w:p w:rsidR="00C6392E" w:rsidRDefault="00D43FE9" w:rsidP="00412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130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Degree:</w:t>
      </w:r>
      <w:r w:rsidR="00713010" w:rsidRPr="007130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6392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="00713010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aster </w:t>
      </w:r>
    </w:p>
    <w:p w:rsidR="00412E28" w:rsidRPr="00412E28" w:rsidRDefault="00D43FE9" w:rsidP="00412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Year:</w:t>
      </w:r>
      <w:r w:rsidR="0071301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12E28" w:rsidRPr="00412E28">
        <w:rPr>
          <w:rFonts w:ascii="Times New Roman" w:eastAsia="Calibri" w:hAnsi="Times New Roman" w:cs="Times New Roman"/>
          <w:sz w:val="24"/>
          <w:szCs w:val="24"/>
          <w:lang w:val="en-US"/>
        </w:rPr>
        <w:t>2018-2019 (</w:t>
      </w:r>
      <w:r w:rsidR="00713010">
        <w:rPr>
          <w:rFonts w:ascii="Times New Roman" w:eastAsia="Calibri" w:hAnsi="Times New Roman" w:cs="Times New Roman"/>
          <w:sz w:val="24"/>
          <w:szCs w:val="24"/>
          <w:lang w:val="en-US"/>
        </w:rPr>
        <w:t>admission:</w:t>
      </w:r>
      <w:r w:rsidR="00412E28" w:rsidRPr="00412E2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2018)</w:t>
      </w:r>
    </w:p>
    <w:p w:rsidR="00412E28" w:rsidRPr="00C6392E" w:rsidRDefault="00D43FE9" w:rsidP="00412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Semester:</w:t>
      </w:r>
      <w:r w:rsid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module </w:t>
      </w:r>
      <w:r w:rsidR="00412E28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12E28" w:rsidRPr="00C6392E" w:rsidRDefault="00D43FE9" w:rsidP="00412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General workload: </w:t>
      </w:r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 ECTS credits, </w:t>
      </w:r>
      <w:r w:rsidR="00412E28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108 </w:t>
      </w:r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hours</w:t>
      </w:r>
    </w:p>
    <w:p w:rsidR="00C6392E" w:rsidRDefault="00C6392E" w:rsidP="00412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36C6B" w:rsidRDefault="00372EFB" w:rsidP="00412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8E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Goals of the course    </w:t>
      </w:r>
    </w:p>
    <w:p w:rsidR="00412E28" w:rsidRPr="00412E28" w:rsidRDefault="009B4A46" w:rsidP="00412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shape a comprehensive view of the modern international corporate and entrepreneurial law; to </w:t>
      </w:r>
      <w:r w:rsidR="004C39E9"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acquire skills needed to analyze the sources of international and national law and </w:t>
      </w:r>
      <w:r w:rsidR="00026C35"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>apply</w:t>
      </w:r>
      <w:r w:rsidR="004C39E9"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principles and </w:t>
      </w:r>
      <w:r w:rsidR="00026C35"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>rules of various legal systems to practice.</w:t>
      </w:r>
      <w:r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26C35" w:rsidRPr="00026C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6392E" w:rsidRDefault="00C6392E" w:rsidP="00C6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72EFB" w:rsidRPr="007238E9" w:rsidRDefault="00372EFB" w:rsidP="00C639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8E9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 didactic units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DF64D5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status quo in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corporate and </w:t>
      </w:r>
      <w:r w:rsidR="00DF64D5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entrepreneurial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law: types of corporations and corporate, business relations, </w:t>
      </w:r>
      <w:r w:rsidR="0050725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handling conflicts of laws in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cross-border corporate and business relations</w:t>
      </w:r>
      <w:r w:rsidR="00DF64D5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hips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50725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characteristics of the formation procedure and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operation</w:t>
      </w:r>
      <w:r w:rsidR="0050725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international </w:t>
      </w:r>
      <w:r w:rsidR="0050725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business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groups</w:t>
      </w:r>
      <w:r w:rsidR="0050725E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Corporate </w:t>
      </w:r>
      <w:r w:rsidR="00B9490C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governance and conflict of interest in corporations: rights and interests of controlling and minority shareholders, managers and lenders.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Legal regulation of business and other transactions related to participation in corporations. </w:t>
      </w:r>
      <w:r w:rsidR="00E21C42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Characteristics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transactions associated with transition of control, </w:t>
      </w:r>
      <w:r w:rsidR="004E19B3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minority share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acquisition, </w:t>
      </w:r>
      <w:r w:rsidR="004E19B3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joint venture formation, and entering the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public securities market.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Practical </w:t>
      </w:r>
      <w:r w:rsidR="00702362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deal conclusion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aspects related to participation in international corporations: key agreements</w:t>
      </w:r>
      <w:r w:rsidR="008B44C7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, terms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conditions</w:t>
      </w:r>
      <w:r w:rsidR="008B44C7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International corporations and international tax planning.</w:t>
      </w:r>
    </w:p>
    <w:p w:rsidR="00412E28" w:rsidRPr="00C6392E" w:rsidRDefault="004C563F" w:rsidP="00C6392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Trends in legal regulation and topical issues of international corporate and </w:t>
      </w:r>
      <w:r w:rsidR="004500E8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entrepreneurial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law</w:t>
      </w:r>
      <w:r w:rsidR="004500E8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6392E" w:rsidRDefault="00C6392E" w:rsidP="00412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409F5" w:rsidRDefault="00372EFB" w:rsidP="00412E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238E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Place of the discipline within the curriculum </w:t>
      </w:r>
    </w:p>
    <w:p w:rsidR="00412E28" w:rsidRPr="00C6392E" w:rsidRDefault="00C409F5" w:rsidP="00412E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</w:pP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The course is a mandatory discipline of the</w:t>
      </w:r>
      <w:r w:rsidR="00372EF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master program in International Finance (in English) (variational component of program </w:t>
      </w:r>
      <w:r w:rsidR="00412E28" w:rsidRPr="00C6392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38.04.01 </w:t>
      </w:r>
      <w:r w:rsidRPr="00C6392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 xml:space="preserve">in Economics). </w:t>
      </w:r>
    </w:p>
    <w:p w:rsidR="00C409F5" w:rsidRPr="00412E28" w:rsidRDefault="00C409F5" w:rsidP="00412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12E28" w:rsidRPr="00412E28" w:rsidRDefault="00372EFB" w:rsidP="00412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72EF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Upon completing the course, the students should: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304"/>
      </w:tblGrid>
      <w:tr w:rsidR="00412E28" w:rsidRPr="00C6392E" w:rsidTr="00A803D8">
        <w:tc>
          <w:tcPr>
            <w:tcW w:w="9345" w:type="dxa"/>
            <w:gridSpan w:val="3"/>
          </w:tcPr>
          <w:p w:rsidR="00412E28" w:rsidRPr="00C6392E" w:rsidRDefault="00147EAF" w:rsidP="0015500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Competence. </w:t>
            </w:r>
            <w:r w:rsidRPr="00C6392E">
              <w:rPr>
                <w:lang w:val="en-US"/>
              </w:rPr>
              <w:t>A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bility to use applied and mathematical methods of financial analysis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in order to assess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the 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work 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results and 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financial and economic operations’ 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eff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iciency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in entities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of various 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forms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of ownership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 including financial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, lending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, government 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institutions 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and local government</w:t>
            </w:r>
            <w:r w:rsidR="00155009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s.</w:t>
            </w:r>
            <w:r w:rsidR="00C939F0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412E28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12E28" w:rsidRPr="00412E28" w:rsidTr="00A803D8">
        <w:tc>
          <w:tcPr>
            <w:tcW w:w="3021" w:type="dxa"/>
          </w:tcPr>
          <w:p w:rsidR="00412E28" w:rsidRPr="00C6392E" w:rsidRDefault="00155009" w:rsidP="00412E2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Know:</w:t>
            </w:r>
          </w:p>
        </w:tc>
        <w:tc>
          <w:tcPr>
            <w:tcW w:w="3020" w:type="dxa"/>
          </w:tcPr>
          <w:p w:rsidR="00412E28" w:rsidRPr="00C6392E" w:rsidRDefault="00155009" w:rsidP="00412E2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Be able to:</w:t>
            </w:r>
          </w:p>
        </w:tc>
        <w:tc>
          <w:tcPr>
            <w:tcW w:w="3304" w:type="dxa"/>
          </w:tcPr>
          <w:p w:rsidR="00412E28" w:rsidRPr="00C6392E" w:rsidRDefault="00155009" w:rsidP="00412E2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Have:</w:t>
            </w:r>
          </w:p>
        </w:tc>
      </w:tr>
      <w:tr w:rsidR="00412E28" w:rsidRPr="00C6392E" w:rsidTr="00A803D8">
        <w:tc>
          <w:tcPr>
            <w:tcW w:w="3021" w:type="dxa"/>
          </w:tcPr>
          <w:p w:rsidR="00412E28" w:rsidRPr="00412E28" w:rsidRDefault="002814D7" w:rsidP="00096B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asic methods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techniques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legal regulation of corporate and business relations </w:t>
            </w:r>
            <w:r w:rsid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order to 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assess</w:t>
            </w:r>
            <w:r w:rsid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results of </w:t>
            </w:r>
            <w:r w:rsid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corporate 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financial and economic </w:t>
            </w:r>
            <w:r w:rsid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operations</w:t>
            </w:r>
            <w:r w:rsidR="00A8161B" w:rsidRPr="00096B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20" w:type="dxa"/>
          </w:tcPr>
          <w:p w:rsidR="00412E28" w:rsidRPr="00412E28" w:rsidRDefault="002109A3" w:rsidP="0040765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Examine legal regulations related to </w:t>
            </w:r>
            <w:r w:rsidR="00A8161B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corporate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entrepreneurial </w:t>
            </w:r>
            <w:r w:rsidR="00A8161B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law 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order to </w:t>
            </w:r>
            <w:r w:rsidR="00A8161B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 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corporate </w:t>
            </w:r>
            <w:r w:rsidR="00407654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financial and economic 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operations’ </w:t>
            </w:r>
            <w:r w:rsidR="00A8161B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results</w:t>
            </w:r>
            <w:r w:rsidR="00F35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A8161B" w:rsidRPr="002109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4" w:type="dxa"/>
          </w:tcPr>
          <w:p w:rsidR="00412E28" w:rsidRPr="00412E28" w:rsidRDefault="00E16467" w:rsidP="00F3558B">
            <w:pPr>
              <w:widowControl w:val="0"/>
              <w:tabs>
                <w:tab w:val="left" w:pos="1566"/>
                <w:tab w:val="left" w:pos="253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97A4B" w:rsidRPr="00E16467">
              <w:rPr>
                <w:lang w:val="en-US"/>
              </w:rPr>
              <w:t xml:space="preserve"> </w:t>
            </w:r>
            <w:r w:rsidR="00407654">
              <w:rPr>
                <w:lang w:val="en-US"/>
              </w:rPr>
              <w:t xml:space="preserve">Knowledge of the </w:t>
            </w:r>
            <w:r w:rsidR="00E97A4B" w:rsidRP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legal </w:t>
            </w:r>
            <w:r w:rsidR="00F35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framework for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97A4B" w:rsidRP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corporate and </w:t>
            </w:r>
            <w:r w:rsid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entrepreneurial </w:t>
            </w:r>
            <w:r w:rsidR="00E97A4B" w:rsidRPr="0040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law </w:t>
            </w:r>
            <w:r w:rsidRPr="00E164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 order to assess corporate financial and economic operations’ </w:t>
            </w:r>
            <w:proofErr w:type="gramStart"/>
            <w:r w:rsidRPr="00E164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results </w:t>
            </w:r>
            <w:r w:rsidR="00F3558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E1646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12E28" w:rsidRPr="00C6392E" w:rsidTr="00A803D8">
        <w:tc>
          <w:tcPr>
            <w:tcW w:w="9345" w:type="dxa"/>
            <w:gridSpan w:val="3"/>
          </w:tcPr>
          <w:p w:rsidR="00412E28" w:rsidRPr="00C6392E" w:rsidRDefault="00E16467" w:rsidP="009706FE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Competence</w:t>
            </w:r>
            <w:r w:rsidR="00412E28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Acquisition of public speech skills </w:t>
            </w:r>
            <w:r w:rsidR="009706FE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(scientific and academic writing)  </w:t>
            </w:r>
          </w:p>
        </w:tc>
      </w:tr>
      <w:tr w:rsidR="00585159" w:rsidRPr="00412E28" w:rsidTr="00A803D8">
        <w:tc>
          <w:tcPr>
            <w:tcW w:w="3021" w:type="dxa"/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Know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able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to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304" w:type="dxa"/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Have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12E28" w:rsidRPr="00C6392E" w:rsidTr="00A803D8">
        <w:tc>
          <w:tcPr>
            <w:tcW w:w="3021" w:type="dxa"/>
          </w:tcPr>
          <w:p w:rsidR="00412E28" w:rsidRPr="00412E28" w:rsidRDefault="007238E9" w:rsidP="007238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asics of business communication, principles and methods of business communication in Russian and foreign languages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20" w:type="dxa"/>
          </w:tcPr>
          <w:p w:rsidR="00412E28" w:rsidRPr="00412E28" w:rsidRDefault="00D91209" w:rsidP="00F35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reate and edit scientific and professional texts;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make 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summarize 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information; create communicative materials;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arrange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negotiation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E97A4B" w:rsidRPr="00E97A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including using modern means of communication in Russian and foreign languages</w:t>
            </w:r>
            <w:r w:rsidR="00D06D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304" w:type="dxa"/>
          </w:tcPr>
          <w:p w:rsidR="00412E28" w:rsidRPr="00CE6657" w:rsidRDefault="00CE6657" w:rsidP="00CE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Business communication and public speech skills.  </w:t>
            </w:r>
          </w:p>
        </w:tc>
      </w:tr>
      <w:tr w:rsidR="00412E28" w:rsidRPr="00C6392E" w:rsidTr="00A803D8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12E28" w:rsidRPr="00CE6657" w:rsidRDefault="00CE6657" w:rsidP="00CE665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Competence</w:t>
            </w:r>
            <w:r w:rsidR="00412E28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Ability to apply legal professional knowledge</w:t>
            </w:r>
            <w:r w:rsidRPr="00CE66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85159" w:rsidRPr="00412E28" w:rsidTr="00A803D8">
        <w:tc>
          <w:tcPr>
            <w:tcW w:w="3021" w:type="dxa"/>
            <w:tcBorders>
              <w:bottom w:val="single" w:sz="4" w:space="0" w:color="auto"/>
            </w:tcBorders>
          </w:tcPr>
          <w:p w:rsidR="00585159" w:rsidRPr="00FA0018" w:rsidRDefault="00585159" w:rsidP="00963A7E">
            <w:proofErr w:type="spellStart"/>
            <w:r w:rsidRPr="00FA0018">
              <w:t>Know</w:t>
            </w:r>
            <w:proofErr w:type="spellEnd"/>
            <w:r w:rsidRPr="00FA0018">
              <w:t>: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585159" w:rsidRPr="00FA0018" w:rsidRDefault="00585159" w:rsidP="00963A7E">
            <w:proofErr w:type="spellStart"/>
            <w:r w:rsidRPr="00FA0018">
              <w:t>Be</w:t>
            </w:r>
            <w:proofErr w:type="spellEnd"/>
            <w:r w:rsidRPr="00FA0018">
              <w:t xml:space="preserve"> </w:t>
            </w:r>
            <w:proofErr w:type="spellStart"/>
            <w:r w:rsidRPr="00FA0018">
              <w:t>able</w:t>
            </w:r>
            <w:proofErr w:type="spellEnd"/>
            <w:r w:rsidRPr="00FA0018">
              <w:t xml:space="preserve"> </w:t>
            </w:r>
            <w:proofErr w:type="spellStart"/>
            <w:r w:rsidRPr="00FA0018">
              <w:t>to</w:t>
            </w:r>
            <w:proofErr w:type="spellEnd"/>
            <w:r w:rsidRPr="00FA0018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585159" w:rsidRDefault="00585159" w:rsidP="00963A7E">
            <w:proofErr w:type="spellStart"/>
            <w:r w:rsidRPr="00FA0018">
              <w:t>Have</w:t>
            </w:r>
            <w:proofErr w:type="spellEnd"/>
            <w:r w:rsidRPr="00FA0018">
              <w:t>:</w:t>
            </w:r>
          </w:p>
        </w:tc>
      </w:tr>
      <w:tr w:rsidR="00412E28" w:rsidRPr="00C6392E" w:rsidTr="00A803D8">
        <w:tc>
          <w:tcPr>
            <w:tcW w:w="3021" w:type="dxa"/>
            <w:tcBorders>
              <w:top w:val="single" w:sz="4" w:space="0" w:color="auto"/>
            </w:tcBorders>
          </w:tcPr>
          <w:p w:rsidR="00412E28" w:rsidRPr="00CE6657" w:rsidRDefault="00CE6657" w:rsidP="008A47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FC02C8" w:rsidRPr="00CE66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he basic concepts needed to address specific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issues</w:t>
            </w:r>
            <w:r w:rsidR="00FC02C8" w:rsidRPr="00CE66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arising in international corporate and </w:t>
            </w:r>
            <w:r w:rsidR="008A47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="00FC02C8" w:rsidRPr="00CE665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relations.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412E28" w:rsidRPr="00620D7F" w:rsidRDefault="00EC5C7F" w:rsidP="00F35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FC02C8" w:rsidRP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nterpret </w:t>
            </w:r>
            <w:r w:rsidR="00620D7F" w:rsidRP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and national </w:t>
            </w:r>
            <w:r w:rsid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regulations</w:t>
            </w:r>
            <w:r w:rsidR="00FC02C8" w:rsidRP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the field of international corporate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entrepreneurial</w:t>
            </w:r>
            <w:r w:rsidR="00FC02C8" w:rsidRP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law.</w:t>
            </w:r>
            <w:r w:rsidR="00620D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412E28" w:rsidRPr="00EC5C7F" w:rsidRDefault="00B56A84" w:rsidP="00B56A8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C5C7F">
              <w:rPr>
                <w:lang w:val="en-US"/>
              </w:rPr>
              <w:t>L</w:t>
            </w:r>
            <w:r w:rsidR="00FC02C8" w:rsidRP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egal document</w:t>
            </w:r>
            <w:r w:rsid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drafting skills</w:t>
            </w:r>
            <w:r w:rsidR="00FC02C8" w:rsidRP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B18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="00FC02C8" w:rsidRP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corporate and </w:t>
            </w:r>
            <w:r w:rsidR="00FB18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FC02C8" w:rsidRP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relations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FC02C8" w:rsidRPr="00EC5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12E28" w:rsidRPr="00C6392E" w:rsidTr="00A803D8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12E28" w:rsidRPr="00C6392E" w:rsidRDefault="00B56A84" w:rsidP="00412E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Competence. Ability to be creative, to offer independent hypotheses</w:t>
            </w:r>
            <w:r w:rsidR="00412E28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585159" w:rsidRPr="00412E28" w:rsidTr="00A803D8">
        <w:tc>
          <w:tcPr>
            <w:tcW w:w="3021" w:type="dxa"/>
            <w:tcBorders>
              <w:bottom w:val="single" w:sz="4" w:space="0" w:color="auto"/>
            </w:tcBorders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Know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able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to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585159" w:rsidRPr="00C6392E" w:rsidRDefault="00585159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Have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12E28" w:rsidRPr="00C6392E" w:rsidTr="00A803D8">
        <w:tc>
          <w:tcPr>
            <w:tcW w:w="3021" w:type="dxa"/>
            <w:tcBorders>
              <w:top w:val="single" w:sz="4" w:space="0" w:color="auto"/>
            </w:tcBorders>
          </w:tcPr>
          <w:p w:rsidR="00860646" w:rsidRPr="00D06672" w:rsidRDefault="00D06672" w:rsidP="00412E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E28" w:rsidRPr="00860646" w:rsidRDefault="00860646" w:rsidP="00D066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</w:t>
            </w:r>
            <w:r w:rsidR="00FC02C8" w:rsidRPr="0086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</w:t>
            </w:r>
            <w:r w:rsidR="00D0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ology used when</w:t>
            </w:r>
            <w:r w:rsidR="00FC02C8" w:rsidRPr="0086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developing and </w:t>
            </w:r>
            <w:r w:rsidR="00D06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offering</w:t>
            </w:r>
            <w:r w:rsidR="00FC02C8" w:rsidRPr="0086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independent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="00FC02C8" w:rsidRPr="0086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hypotheses in the field of corporate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entrepreneurial</w:t>
            </w:r>
            <w:r w:rsidR="00FC02C8" w:rsidRPr="00860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law.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C85488" w:rsidRPr="00D56600" w:rsidRDefault="00D56600" w:rsidP="00412E2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12E28" w:rsidRPr="00C85488" w:rsidRDefault="00C85488" w:rsidP="00D566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Offer rationale behind the researcher</w:t>
            </w:r>
            <w:r w:rsidR="00FC02C8" w:rsidRPr="00C8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hypotheses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offered</w:t>
            </w:r>
            <w:r w:rsidR="00FC02C8" w:rsidRPr="00C8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field of corporate and </w:t>
            </w:r>
            <w:r w:rsid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entrepreneurial </w:t>
            </w:r>
            <w:r w:rsidR="00FC02C8" w:rsidRPr="00C8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  <w:r w:rsid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412E28" w:rsidRPr="00D56600" w:rsidRDefault="009A4AFB" w:rsidP="00412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C02C8" w:rsidRPr="00D56600">
              <w:rPr>
                <w:lang w:val="en-US"/>
              </w:rPr>
              <w:t xml:space="preserve"> </w:t>
            </w:r>
            <w:r w:rsidR="00D56600">
              <w:rPr>
                <w:lang w:val="en-US"/>
              </w:rPr>
              <w:t>C</w:t>
            </w:r>
            <w:r w:rsidR="00D56600" w:rsidRP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reative thinking </w:t>
            </w:r>
            <w:r w:rsidR="00FC02C8" w:rsidRP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skills </w:t>
            </w:r>
            <w:r w:rsid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related to</w:t>
            </w:r>
            <w:r w:rsidR="00FC02C8" w:rsidRP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and </w:t>
            </w:r>
            <w:r w:rsid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offer </w:t>
            </w:r>
            <w:r w:rsidR="00FC02C8" w:rsidRP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="00FC02C8" w:rsidRPr="00D56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hypotheses in the field of corporate and entrepreneurial law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12E28" w:rsidRPr="00D56600" w:rsidRDefault="00412E28" w:rsidP="00412E2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2E28" w:rsidRPr="00C6392E" w:rsidTr="00A803D8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12E28" w:rsidRPr="00C6392E" w:rsidRDefault="009A4AFB" w:rsidP="002841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Competence</w:t>
            </w:r>
            <w:r w:rsidR="00412E28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="002841DB" w:rsidRPr="00C639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Readiness to make managerial decisions and bear the responsibility for the decisions made.  </w:t>
            </w:r>
          </w:p>
        </w:tc>
      </w:tr>
      <w:tr w:rsidR="002841DB" w:rsidRPr="00412E28" w:rsidTr="00A803D8">
        <w:tc>
          <w:tcPr>
            <w:tcW w:w="3021" w:type="dxa"/>
            <w:tcBorders>
              <w:bottom w:val="single" w:sz="4" w:space="0" w:color="auto"/>
            </w:tcBorders>
          </w:tcPr>
          <w:p w:rsidR="002841DB" w:rsidRPr="00C6392E" w:rsidRDefault="002841DB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Know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2841DB" w:rsidRPr="00C6392E" w:rsidRDefault="002841DB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Be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able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to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841DB" w:rsidRPr="00C6392E" w:rsidRDefault="002841DB" w:rsidP="00C6392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Have</w:t>
            </w:r>
            <w:proofErr w:type="spellEnd"/>
            <w:r w:rsidRPr="00C63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412E28" w:rsidRPr="00C6392E" w:rsidTr="00A803D8">
        <w:tc>
          <w:tcPr>
            <w:tcW w:w="3021" w:type="dxa"/>
            <w:tcBorders>
              <w:top w:val="single" w:sz="4" w:space="0" w:color="auto"/>
            </w:tcBorders>
          </w:tcPr>
          <w:p w:rsidR="00412E28" w:rsidRPr="00E471D3" w:rsidRDefault="00D33E49" w:rsidP="00C639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</w:t>
            </w:r>
            <w:r w:rsidR="000F1468" w:rsidRPr="00E47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egal communication processes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going on when administrative and </w:t>
            </w:r>
            <w:r w:rsidR="00F715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0F1468" w:rsidRPr="00E47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anagerial decisions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are made that are associated with </w:t>
            </w:r>
            <w:r w:rsidR="000F1468" w:rsidRPr="00E47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international corporate and </w:t>
            </w:r>
            <w:r w:rsidR="00D67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="000F1468" w:rsidRPr="00E471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relations.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:rsidR="00412E28" w:rsidRPr="007068D9" w:rsidRDefault="00642631" w:rsidP="00D677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F1468" w:rsidRPr="00642631">
              <w:rPr>
                <w:lang w:val="en-US"/>
              </w:rPr>
              <w:t xml:space="preserve"> </w:t>
            </w:r>
            <w:r w:rsidR="00F715DF">
              <w:rPr>
                <w:lang w:val="en-US"/>
              </w:rPr>
              <w:t>A</w:t>
            </w:r>
            <w:r w:rsidR="000F1468" w:rsidRP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ssess the risks of </w:t>
            </w:r>
            <w:r w:rsid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bringing</w:t>
            </w:r>
            <w:r w:rsidR="000F1468" w:rsidRP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subjects of corporate and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entrepreneurial </w:t>
            </w:r>
            <w:r w:rsidR="000F1468" w:rsidRP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law to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justice</w:t>
            </w:r>
            <w:r w:rsidR="000F1468" w:rsidRP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for decisions made in international corporate and </w:t>
            </w:r>
            <w:r w:rsidR="00D67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business</w:t>
            </w:r>
            <w:r w:rsidR="000F1468" w:rsidRPr="007068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relations.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412E28" w:rsidRPr="00642631" w:rsidRDefault="00642631" w:rsidP="00D677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</w:t>
            </w:r>
            <w:r w:rsidR="000F1468" w:rsidRPr="00642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kills of analysis and assessment of emerging legal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issues</w:t>
            </w:r>
            <w:r w:rsidR="000F1468" w:rsidRPr="00642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international corporate and </w:t>
            </w:r>
            <w:r w:rsidR="00D677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0F1468" w:rsidRPr="006426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relations.</w:t>
            </w:r>
          </w:p>
        </w:tc>
      </w:tr>
    </w:tbl>
    <w:p w:rsidR="00412E28" w:rsidRPr="00642631" w:rsidRDefault="00412E28" w:rsidP="00412E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3D1D" w:rsidRDefault="004D3D1D" w:rsidP="00412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Course structure: </w:t>
      </w:r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lectures, </w:t>
      </w:r>
      <w:proofErr w:type="spellStart"/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practicals</w:t>
      </w:r>
      <w:proofErr w:type="spellEnd"/>
      <w:r w:rsidR="00E36C6B"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>, independent student work</w:t>
      </w:r>
      <w:r w:rsid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</w:t>
      </w:r>
    </w:p>
    <w:p w:rsidR="00C6392E" w:rsidRPr="00E36C6B" w:rsidRDefault="00C6392E" w:rsidP="00412E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76618" w:rsidRPr="00C6392E" w:rsidRDefault="004D3D1D" w:rsidP="00412E28">
      <w:pPr>
        <w:spacing w:after="0" w:line="240" w:lineRule="auto"/>
        <w:rPr>
          <w:sz w:val="24"/>
          <w:szCs w:val="24"/>
          <w:lang w:val="en-US"/>
        </w:rPr>
      </w:pPr>
      <w:r w:rsidRPr="004D3D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Summative</w:t>
      </w: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4D3D1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assessment</w:t>
      </w:r>
      <w:r w:rsidRPr="00E36C6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C639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examination  </w:t>
      </w:r>
    </w:p>
    <w:sectPr w:rsidR="00276618" w:rsidRPr="00C6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1D"/>
    <w:multiLevelType w:val="hybridMultilevel"/>
    <w:tmpl w:val="37901DBC"/>
    <w:lvl w:ilvl="0" w:tplc="E774E7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D92F94"/>
    <w:multiLevelType w:val="hybridMultilevel"/>
    <w:tmpl w:val="02802176"/>
    <w:lvl w:ilvl="0" w:tplc="9E9404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8"/>
    <w:rsid w:val="00026C35"/>
    <w:rsid w:val="00096B71"/>
    <w:rsid w:val="000F1468"/>
    <w:rsid w:val="00147EAF"/>
    <w:rsid w:val="00155009"/>
    <w:rsid w:val="002109A3"/>
    <w:rsid w:val="00276618"/>
    <w:rsid w:val="002814D7"/>
    <w:rsid w:val="002841DB"/>
    <w:rsid w:val="00372EFB"/>
    <w:rsid w:val="003D1A02"/>
    <w:rsid w:val="00407654"/>
    <w:rsid w:val="00412E28"/>
    <w:rsid w:val="004500E8"/>
    <w:rsid w:val="004C39E9"/>
    <w:rsid w:val="004C563F"/>
    <w:rsid w:val="004D3D1D"/>
    <w:rsid w:val="004E19B3"/>
    <w:rsid w:val="0050725E"/>
    <w:rsid w:val="00585159"/>
    <w:rsid w:val="00620D7F"/>
    <w:rsid w:val="00627A05"/>
    <w:rsid w:val="00642631"/>
    <w:rsid w:val="00702362"/>
    <w:rsid w:val="007068D9"/>
    <w:rsid w:val="00713010"/>
    <w:rsid w:val="007238E9"/>
    <w:rsid w:val="00773037"/>
    <w:rsid w:val="00860646"/>
    <w:rsid w:val="008A4771"/>
    <w:rsid w:val="008B44C7"/>
    <w:rsid w:val="00907681"/>
    <w:rsid w:val="0091294D"/>
    <w:rsid w:val="009706FE"/>
    <w:rsid w:val="009A4AFB"/>
    <w:rsid w:val="009B4A46"/>
    <w:rsid w:val="00A4603F"/>
    <w:rsid w:val="00A8161B"/>
    <w:rsid w:val="00B56A84"/>
    <w:rsid w:val="00B9490C"/>
    <w:rsid w:val="00C409F5"/>
    <w:rsid w:val="00C6392E"/>
    <w:rsid w:val="00C85488"/>
    <w:rsid w:val="00C939F0"/>
    <w:rsid w:val="00CB2343"/>
    <w:rsid w:val="00CE6657"/>
    <w:rsid w:val="00D06672"/>
    <w:rsid w:val="00D06D2C"/>
    <w:rsid w:val="00D33E49"/>
    <w:rsid w:val="00D43FE9"/>
    <w:rsid w:val="00D56600"/>
    <w:rsid w:val="00D677BE"/>
    <w:rsid w:val="00D91209"/>
    <w:rsid w:val="00DF64D5"/>
    <w:rsid w:val="00E16467"/>
    <w:rsid w:val="00E21C42"/>
    <w:rsid w:val="00E36C6B"/>
    <w:rsid w:val="00E471D3"/>
    <w:rsid w:val="00E97A4B"/>
    <w:rsid w:val="00EC5C7F"/>
    <w:rsid w:val="00F3558B"/>
    <w:rsid w:val="00F715DF"/>
    <w:rsid w:val="00FB18AD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12E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63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12E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C6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D9274-EBB9-4F74-96F7-A9B96FD17F97}"/>
</file>

<file path=customXml/itemProps2.xml><?xml version="1.0" encoding="utf-8"?>
<ds:datastoreItem xmlns:ds="http://schemas.openxmlformats.org/officeDocument/2006/customXml" ds:itemID="{E1059495-AAD1-4F10-8D10-913E4AC97453}"/>
</file>

<file path=customXml/itemProps3.xml><?xml version="1.0" encoding="utf-8"?>
<ds:datastoreItem xmlns:ds="http://schemas.openxmlformats.org/officeDocument/2006/customXml" ds:itemID="{2F151A06-EFF3-4E85-A4E7-B27CE9F26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2018-08-07T11:11:00Z</dcterms:created>
  <dcterms:modified xsi:type="dcterms:W3CDTF">2018-08-07T11:11:00Z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