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>
        <w:rPr>
          <w:rFonts w:cs="Times New Roman" w:ascii="Times New Roman" w:hAnsi="Times New Roman"/>
          <w:sz w:val="26"/>
          <w:szCs w:val="26"/>
        </w:rPr>
        <w:t>ДОГОВОР № _______</w:t>
      </w:r>
    </w:p>
    <w:p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Об образовании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обучение по дополнительным профессиональным программам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6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2"/>
                <w:szCs w:val="22"/>
                <w:lang w:eastAsia="ru-RU"/>
              </w:rPr>
              <w:t>г. Москва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0"/>
                <w:lang w:eastAsia="ru-RU"/>
              </w:rPr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  <w:lang w:eastAsia="ru-RU"/>
              </w:rPr>
              <w:t xml:space="preserve">«      »                  </w:t>
            </w:r>
            <w:r>
              <w:rPr>
                <w:rFonts w:eastAsia="Times New Roman" w:cs="Times New Roman" w:ascii="Times New Roman" w:hAnsi="Times New Roman"/>
                <w:b w:val="false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 w:val="false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 w:val="false"/>
                <w:sz w:val="22"/>
                <w:szCs w:val="22"/>
                <w:lang w:eastAsia="ru-RU"/>
              </w:rPr>
              <w:t>г.</w:t>
            </w:r>
          </w:p>
        </w:tc>
      </w:tr>
      <w:tr>
        <w:trPr/>
        <w:tc>
          <w:tcPr>
            <w:tcW w:w="3115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10"/>
                <w:szCs w:val="10"/>
                <w:lang w:eastAsia="ru-RU"/>
              </w:rPr>
              <w:t>(место заключения договора)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0"/>
                <w:lang w:eastAsia="ru-RU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10"/>
                <w:szCs w:val="10"/>
                <w:lang w:eastAsia="ru-RU"/>
              </w:rPr>
              <w:t>(дата заключения договора)</w:t>
            </w:r>
          </w:p>
        </w:tc>
      </w:tr>
    </w:tbl>
    <w:p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 образовательную  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д</w:t>
      </w:r>
      <w:r>
        <w:rPr>
          <w:rFonts w:cs="Times New Roman" w:ascii="Times New Roman" w:hAnsi="Times New Roman"/>
          <w:bCs/>
          <w:sz w:val="16"/>
          <w:szCs w:val="16"/>
        </w:rPr>
        <w:t>иректора Института повышения квалификации и профессиональной переподготовки работников Бабаджан Натальи Алексеевны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>, действующе</w:t>
      </w:r>
      <w:r>
        <w:rPr>
          <w:rFonts w:cs="Times New Roman" w:ascii="Times New Roman" w:hAnsi="Times New Roman"/>
          <w:bCs/>
          <w:sz w:val="16"/>
          <w:szCs w:val="16"/>
        </w:rPr>
        <w:t xml:space="preserve">го 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 xml:space="preserve">на основании доверенности от 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>01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 xml:space="preserve"> 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>января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 xml:space="preserve"> 20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>20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 xml:space="preserve">г. № 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>32</w:t>
      </w:r>
      <w:r>
        <w:rPr>
          <w:rFonts w:cs="Times New Roman" w:ascii="Times New Roman" w:hAnsi="Times New Roman"/>
          <w:bCs/>
          <w:sz w:val="16"/>
          <w:szCs w:val="16"/>
          <w:lang w:val="x-none"/>
        </w:rPr>
        <w:t>/48</w:t>
      </w:r>
      <w:r>
        <w:rPr>
          <w:rFonts w:cs="Times New Roman" w:ascii="Times New Roman" w:hAnsi="Times New Roman"/>
          <w:sz w:val="16"/>
          <w:szCs w:val="16"/>
        </w:rPr>
        <w:t xml:space="preserve"> и _______________________________________________________________________________________________________________________________,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0"/>
          <w:szCs w:val="10"/>
        </w:rPr>
        <w:t xml:space="preserve"> </w:t>
      </w:r>
      <w:r>
        <w:rPr>
          <w:rFonts w:cs="Times New Roman" w:ascii="Times New Roman" w:hAnsi="Times New Roman"/>
          <w:sz w:val="10"/>
          <w:szCs w:val="10"/>
        </w:rPr>
        <w:t>(фамилия, имя, отчество (при наличии) лица, зачисляемого на обучение)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именуем__ в дальнейшем «СЛУШАТЕЛЬ», совместно именуемые «СТОРОНЫ», заключили настоящий Договор о нижеследующем: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bookmarkStart w:id="3" w:name="P72"/>
      <w:bookmarkEnd w:id="3"/>
      <w:r>
        <w:rPr>
          <w:b/>
          <w:sz w:val="16"/>
          <w:szCs w:val="16"/>
        </w:rPr>
        <w:t>I. ПРЕДМЕТ ДОГОВОРА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6"/>
          <w:szCs w:val="16"/>
        </w:rPr>
        <w:t>1.1. Предметом настоящего Договора является предоставление образовательной услуги по организации и проведению обучения</w:t>
      </w:r>
      <w:r>
        <w:rPr>
          <w:color w:val="000000"/>
          <w:sz w:val="16"/>
          <w:szCs w:val="16"/>
        </w:rPr>
        <w:t xml:space="preserve"> СЛУШАТЕЛЯ, включенного в план дополнительного профессионального образования работников Финансового университета в _____ году с оплатой обучения за счёт средств Финансового университета, в Институте повышения квалификации и профессиональной переподготовки работников Финансового университета по программе</w:t>
      </w:r>
      <w:r>
        <w:rPr>
          <w:sz w:val="18"/>
          <w:szCs w:val="18"/>
        </w:rPr>
        <w:t>____________________________________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>очной формы обучения, , объемом 72 часа.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16"/>
          <w:szCs w:val="16"/>
        </w:rPr>
        <w:t>1.2. После освоения СЛУШАТЕЛЕМ программы ему выдаётся удостоверение о повышении квалификации.</w:t>
      </w:r>
    </w:p>
    <w:p>
      <w:pPr>
        <w:pStyle w:val="ConsPlusNormal"/>
        <w:ind w:firstLine="709"/>
        <w:jc w:val="both"/>
        <w:rPr/>
      </w:pPr>
      <w:r>
        <w:rPr>
          <w:sz w:val="16"/>
          <w:szCs w:val="16"/>
        </w:rPr>
        <w:t>1.3. Срок обучения по настоящему Договору составляет с _____ – по ___________ 20</w:t>
      </w:r>
      <w:r>
        <w:rPr>
          <w:sz w:val="16"/>
          <w:szCs w:val="16"/>
        </w:rPr>
        <w:t>20</w:t>
      </w:r>
      <w:r>
        <w:rPr>
          <w:sz w:val="16"/>
          <w:szCs w:val="16"/>
        </w:rPr>
        <w:t xml:space="preserve">г. 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II. ПРАВА ИСПОЛНИТЕЛЯ И СЛУШАТЕЛЯ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III. ОБЯЗАННОСТИ ИСПОЛНИТЕЛЯ И СЛУШАТЕЛЯ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 ИСПОЛНИТЕЛЬ обязан: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>
        <w:rPr>
          <w:rFonts w:cs="Times New Roman" w:ascii="Times New Roman" w:hAnsi="Times New Roman"/>
          <w:sz w:val="16"/>
          <w:szCs w:val="16"/>
          <w:lang w:val="en-US"/>
        </w:rPr>
        <w:t>III</w:t>
      </w:r>
      <w:r>
        <w:rPr>
          <w:rFonts w:cs="Times New Roman" w:ascii="Times New Roman" w:hAnsi="Times New Roman"/>
          <w:sz w:val="16"/>
          <w:szCs w:val="16"/>
        </w:rPr>
        <w:t xml:space="preserve"> настоящего Договора, и осуществления оплаты согласно разделу </w:t>
      </w:r>
      <w:r>
        <w:rPr>
          <w:rFonts w:cs="Times New Roman" w:ascii="Times New Roman" w:hAnsi="Times New Roman"/>
          <w:sz w:val="16"/>
          <w:szCs w:val="16"/>
          <w:lang w:val="en-US"/>
        </w:rPr>
        <w:t>IV</w:t>
      </w:r>
      <w:r>
        <w:rPr>
          <w:rFonts w:cs="Times New Roman" w:ascii="Times New Roman" w:hAnsi="Times New Roman"/>
          <w:sz w:val="16"/>
          <w:szCs w:val="16"/>
        </w:rPr>
        <w:t xml:space="preserve"> настоящего Договора.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3.1.2. Организовать и обеспечить надлежащее предоставление образовательных услуг по реализации программы.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3.1.3. Обеспечить СЛУШАТЕЛЮ предусмотренные программой надлежащие условия её освоения.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3.1.4. Сохранить место за СЛУШАТЕЛЕМ в случае пропуска занятий по уважительным причинам.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3.1.6.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 СЛУШАТЕЛЬ обязан: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3.2.1. Представить ИСПОЛНИТЕЛЮ личное заявление на обучение и документ об образовании (копию). 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3.2.3. Извещать ИСПОЛНИТЕЛЯ о причинах отсутствия на занятиях.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IV. СТОИМОСТЬ УСЛУГ, СРОКИ И ПОРЯДОК ИХ ОПЛАТЫ</w:t>
      </w:r>
    </w:p>
    <w:p>
      <w:pPr>
        <w:pStyle w:val="Normal"/>
        <w:shd w:val="clear" w:color="auto" w:fill="FFFFFF"/>
        <w:spacing w:lineRule="exact" w:line="320"/>
        <w:ind w:firstLine="709"/>
        <w:jc w:val="both"/>
        <w:rPr/>
      </w:pPr>
      <w:r>
        <w:rPr>
          <w:sz w:val="16"/>
          <w:szCs w:val="16"/>
        </w:rPr>
        <w:t>4.1. Образовательные услуги, указанные в разделе</w:t>
      </w:r>
      <w:hyperlink w:anchor="P72">
        <w:r>
          <w:rPr>
            <w:rStyle w:val="Style14"/>
            <w:sz w:val="16"/>
            <w:szCs w:val="16"/>
          </w:rPr>
          <w:t xml:space="preserve"> I</w:t>
        </w:r>
      </w:hyperlink>
      <w:r>
        <w:rPr>
          <w:sz w:val="16"/>
          <w:szCs w:val="16"/>
        </w:rPr>
        <w:t xml:space="preserve"> настоящего Договора, осуществляются за счёт средств Финансового университета.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V. ОСНОВАНИЯ ИЗМЕНЕНИЯ И РАСТОРЖЕНИЯ ДОГОВОРА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>
        <w:rPr>
          <w:color w:val="000000"/>
          <w:sz w:val="16"/>
          <w:szCs w:val="16"/>
        </w:rPr>
        <w:t xml:space="preserve">В случае расторжения </w:t>
      </w:r>
      <w:r>
        <w:rPr>
          <w:sz w:val="16"/>
          <w:szCs w:val="16"/>
        </w:rPr>
        <w:t>настоящего</w:t>
      </w:r>
      <w:r>
        <w:rPr>
          <w:color w:val="000000"/>
          <w:sz w:val="16"/>
          <w:szCs w:val="1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5.2. Настоящий Договор может быть расторгнут по инициативе ИСПОЛНИТЕЛЯ в одностороннем порядке в случаях: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5.3. Настоящий Договор может быть расторгнут досрочно по обстоятельствам, не зависящим от воли СЛУШАТЕЛЯ и ИСПОЛНИТЕЛЯ, в том числе в случае ликвидации ИСПОЛНИТЕЛЯ.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5.4. ИСПОЛНИТЕЛЬ вправе отказаться от исполнения обязательств по Договору.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5.5. СЛУШАТЕЛЬ вправе отказаться от исполнения настоящего Договора.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VI. ОТВЕТСТВЕННОСТЬ ИСПОЛНИТЕЛЯ И СЛУШАТЕЛЯ</w:t>
      </w:r>
    </w:p>
    <w:p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VII. СРОК ДЕЙСТВИЯ ДОГОВОРА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VIII. ЗАКЛЮЧИТЕЛЬНЫЕ ПОЛОЖЕНИЯ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>
      <w:pPr>
        <w:pStyle w:val="ConsPlusNormal"/>
        <w:spacing w:before="120" w:after="120"/>
        <w:jc w:val="center"/>
        <w:rPr>
          <w:b/>
          <w:b/>
          <w:sz w:val="16"/>
          <w:szCs w:val="16"/>
        </w:rPr>
      </w:pPr>
      <w:bookmarkStart w:id="4" w:name="P186"/>
      <w:bookmarkEnd w:id="4"/>
      <w:r>
        <w:rPr>
          <w:b/>
          <w:sz w:val="16"/>
          <w:szCs w:val="16"/>
        </w:rPr>
        <w:t>IX. АДРЕСА И РЕКВИЗИТЫ СТОРОН</w:t>
      </w:r>
    </w:p>
    <w:tbl>
      <w:tblPr>
        <w:tblStyle w:val="a6"/>
        <w:tblW w:w="10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83"/>
        <w:gridCol w:w="373"/>
        <w:gridCol w:w="4083"/>
        <w:gridCol w:w="2050"/>
      </w:tblGrid>
      <w:tr>
        <w:trPr/>
        <w:tc>
          <w:tcPr>
            <w:tcW w:w="3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Слушатель</w:t>
            </w:r>
          </w:p>
        </w:tc>
      </w:tr>
      <w:tr>
        <w:trPr/>
        <w:tc>
          <w:tcPr>
            <w:tcW w:w="3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 Юридический адрес: Ленинградский проспект, д.49, Москва, ГСП-3, 125993 Банковские реквизиты: ИНН: 7714086422, КПП: 771401001, БИК:044525000, УФК по г. Москве (Финансовый университет л/сч 20736X19410)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Р/сч </w:t>
            </w:r>
            <w:r>
              <w:rPr>
                <w:rFonts w:cs="Times New Roman"/>
                <w:sz w:val="18"/>
                <w:szCs w:val="18"/>
                <w:lang w:eastAsia="ru-RU"/>
              </w:rPr>
              <w:t>40501810845252000079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>Наименование банка (полное)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>Главное управление Банка России по Центральному федеральному округу г. Москва, Наименование банка (сокращенное) ГУ Банка России по ЦФО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Электронный адрес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Исполнителя </w:t>
            </w:r>
            <w:hyperlink r:id="rId2">
              <w:r>
                <w:rPr>
                  <w:rStyle w:val="Style14"/>
                  <w:rFonts w:cs="Times New Roman"/>
                  <w:sz w:val="18"/>
                  <w:szCs w:val="18"/>
                  <w:lang w:val="en-US" w:eastAsia="ru-RU"/>
                </w:rPr>
                <w:t>ipkp</w:t>
              </w:r>
              <w:r>
                <w:rPr>
                  <w:rStyle w:val="Style14"/>
                  <w:rFonts w:cs="Times New Roman"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Style14"/>
                  <w:rFonts w:cs="Times New Roman"/>
                  <w:sz w:val="18"/>
                  <w:szCs w:val="18"/>
                  <w:lang w:val="en-US" w:eastAsia="ru-RU"/>
                </w:rPr>
                <w:t>fa</w:t>
              </w:r>
              <w:r>
                <w:rPr>
                  <w:rStyle w:val="Style14"/>
                  <w:rFonts w:cs="Times New Roman"/>
                  <w:sz w:val="18"/>
                  <w:szCs w:val="18"/>
                  <w:lang w:eastAsia="ru-RU"/>
                </w:rPr>
                <w:t>.</w:t>
              </w:r>
              <w:r>
                <w:rPr>
                  <w:rStyle w:val="Style14"/>
                  <w:rFonts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Директор ИПКиППР _________/Н.А. Бабаджан/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0"/>
                <w:lang w:eastAsia="ru-RU"/>
              </w:rPr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Cell"/>
              <w:pBdr>
                <w:bottom w:val="single" w:sz="12" w:space="1" w:color="00000A"/>
              </w:pBdr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ConsPlusCel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(фамилия, имя, отчество)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(дата рождения)_________________________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(паспорт: серия, номер,    когда и кем выдан)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(телефон)_________________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___________________________/И.О.Фамилия/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tabs>
                <w:tab w:val="left" w:pos="2581" w:leader="none"/>
              </w:tabs>
              <w:spacing w:lineRule="auto" w:line="240" w:before="0" w:after="0"/>
              <w:ind w:right="177" w:hanging="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</w:tbl>
    <w:p>
      <w:pPr>
        <w:pStyle w:val="ConsPlusNormal"/>
        <w:ind w:left="5670" w:hanging="0"/>
        <w:jc w:val="center"/>
        <w:rPr>
          <w:szCs w:val="28"/>
        </w:rPr>
      </w:pPr>
      <w:r>
        <w:rPr>
          <w:szCs w:val="28"/>
        </w:rPr>
      </w:r>
    </w:p>
    <w:p>
      <w:pPr>
        <w:pStyle w:val="ConsPlusNormal"/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6608358"/>
    </w:sdtPr>
    <w:sdtContent>
      <w:p>
        <w:pPr>
          <w:pStyle w:val="Style21"/>
          <w:jc w:val="center"/>
          <w:rPr/>
        </w:pP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46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a053da"/>
    <w:pPr>
      <w:keepNext/>
      <w:jc w:val="both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0e468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0e468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a053d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rsid w:val="000e468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0e46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0e468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4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0e468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2"/>
      <w:lang w:eastAsia="ru-RU" w:val="ru-RU" w:bidi="ar-SA"/>
    </w:rPr>
  </w:style>
  <w:style w:type="paragraph" w:styleId="ConsPlusNonformat" w:customStyle="1">
    <w:name w:val="ConsPlusNonformat"/>
    <w:qFormat/>
    <w:rsid w:val="000e468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e4683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pkp@fa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B878A8C57CA40B7929C1E3C527E39" ma:contentTypeVersion="1" ma:contentTypeDescription="Создание документа." ma:contentTypeScope="" ma:versionID="7d0f06fa987019d03b881b0ed1dbf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D8884-3531-4EEC-8D08-316C53970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F6998-2CB4-48E1-A996-AA32C68F29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D0BA09-8210-4A71-985C-C53FB1E4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2</Pages>
  <Words>906</Words>
  <Characters>6967</Characters>
  <CharactersWithSpaces>7903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2018-04-06T10:20:00Z</dcterms:created>
  <dc:creator>Ходжаева Ирина Гулямовна</dc:creator>
  <dc:description/>
  <dc:language>ru-RU</dc:language>
  <cp:lastModifiedBy/>
  <dcterms:modified xsi:type="dcterms:W3CDTF">2020-03-02T17:06:11Z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0x010100059B878A8C57CA40B7929C1E3C527E39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