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06" w:rsidRPr="00C92F06" w:rsidRDefault="00C92F06" w:rsidP="00A035E8">
      <w:pPr>
        <w:tabs>
          <w:tab w:val="left" w:pos="993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8"/>
          <w:lang w:bidi="ru-RU"/>
        </w:rPr>
      </w:pPr>
      <w:bookmarkStart w:id="0" w:name="_GoBack"/>
      <w:bookmarkEnd w:id="0"/>
      <w:r w:rsidRPr="00C92F06">
        <w:rPr>
          <w:rFonts w:ascii="Times New Roman" w:hAnsi="Times New Roman" w:cs="Times New Roman"/>
          <w:sz w:val="24"/>
          <w:szCs w:val="28"/>
          <w:lang w:bidi="ru-RU"/>
        </w:rPr>
        <w:t>Приложение</w:t>
      </w:r>
      <w:r w:rsidR="00307A9B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="00091183">
        <w:rPr>
          <w:rFonts w:ascii="Times New Roman" w:hAnsi="Times New Roman" w:cs="Times New Roman"/>
          <w:sz w:val="24"/>
          <w:szCs w:val="28"/>
          <w:lang w:bidi="ru-RU"/>
        </w:rPr>
        <w:t>№</w:t>
      </w:r>
      <w:r w:rsidR="00307A9B">
        <w:rPr>
          <w:rFonts w:ascii="Times New Roman" w:hAnsi="Times New Roman" w:cs="Times New Roman"/>
          <w:sz w:val="24"/>
          <w:szCs w:val="28"/>
          <w:lang w:bidi="ru-RU"/>
        </w:rPr>
        <w:t>1</w:t>
      </w:r>
    </w:p>
    <w:p w:rsidR="00C92F06" w:rsidRPr="00C92F06" w:rsidRDefault="00091183" w:rsidP="00A035E8">
      <w:pPr>
        <w:tabs>
          <w:tab w:val="left" w:pos="993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>к Регламенту</w:t>
      </w:r>
    </w:p>
    <w:p w:rsidR="00C92F06" w:rsidRPr="00C92F06" w:rsidRDefault="00C92F06" w:rsidP="00C92F06">
      <w:pPr>
        <w:pStyle w:val="a3"/>
        <w:autoSpaceDE w:val="0"/>
        <w:autoSpaceDN w:val="0"/>
        <w:adjustRightInd w:val="0"/>
        <w:spacing w:line="240" w:lineRule="auto"/>
        <w:ind w:left="5670"/>
        <w:jc w:val="both"/>
        <w:rPr>
          <w:sz w:val="20"/>
          <w:szCs w:val="28"/>
        </w:rPr>
      </w:pPr>
    </w:p>
    <w:p w:rsidR="00C92F06" w:rsidRPr="00C92F06" w:rsidRDefault="00C92F06" w:rsidP="00C92F06">
      <w:pPr>
        <w:pStyle w:val="Bodytext40"/>
        <w:shd w:val="clear" w:color="auto" w:fill="auto"/>
        <w:spacing w:after="0" w:line="312" w:lineRule="exact"/>
        <w:ind w:right="40"/>
        <w:rPr>
          <w:color w:val="000000"/>
          <w:sz w:val="24"/>
          <w:lang w:eastAsia="ru-RU" w:bidi="ru-RU"/>
        </w:rPr>
      </w:pPr>
      <w:r w:rsidRPr="00C92F06">
        <w:rPr>
          <w:color w:val="000000"/>
          <w:sz w:val="24"/>
          <w:lang w:eastAsia="ru-RU" w:bidi="ru-RU"/>
        </w:rPr>
        <w:t>Условия оказания материальной поддержки</w:t>
      </w:r>
    </w:p>
    <w:p w:rsidR="00C92F06" w:rsidRPr="00C92F06" w:rsidRDefault="00C92F06" w:rsidP="00C92F06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sz w:val="20"/>
          <w:szCs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3405"/>
        <w:gridCol w:w="2056"/>
        <w:gridCol w:w="2056"/>
        <w:gridCol w:w="2088"/>
      </w:tblGrid>
      <w:tr w:rsidR="00C92F06" w:rsidRPr="00374742" w:rsidTr="00D94909">
        <w:trPr>
          <w:trHeight w:val="20"/>
          <w:tblHeader/>
        </w:trPr>
        <w:tc>
          <w:tcPr>
            <w:tcW w:w="193" w:type="pct"/>
            <w:vMerge w:val="restar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071" w:type="pct"/>
            <w:vMerge w:val="restar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материальной</w:t>
            </w:r>
          </w:p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поддержки</w:t>
            </w:r>
          </w:p>
        </w:tc>
        <w:tc>
          <w:tcPr>
            <w:tcW w:w="438" w:type="pct"/>
            <w:vMerge w:val="restar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Периодичность</w:t>
            </w:r>
          </w:p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оказания</w:t>
            </w:r>
          </w:p>
        </w:tc>
        <w:tc>
          <w:tcPr>
            <w:tcW w:w="1169" w:type="pct"/>
            <w:vMerge w:val="restar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Документы, необходимые для получения материальной поддержки</w:t>
            </w:r>
          </w:p>
        </w:tc>
        <w:tc>
          <w:tcPr>
            <w:tcW w:w="1412" w:type="pct"/>
            <w:gridSpan w:val="2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Размер материальной поддержки</w:t>
            </w:r>
          </w:p>
        </w:tc>
        <w:tc>
          <w:tcPr>
            <w:tcW w:w="717" w:type="pct"/>
            <w:vMerge w:val="restar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C92F06" w:rsidRPr="00374742" w:rsidTr="00D94909">
        <w:trPr>
          <w:trHeight w:val="20"/>
          <w:tblHeader/>
        </w:trPr>
        <w:tc>
          <w:tcPr>
            <w:tcW w:w="193" w:type="pct"/>
            <w:vMerge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71" w:type="pct"/>
            <w:vMerge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69" w:type="pct"/>
            <w:vMerge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Обучающиеся по программе бакалавриата, магистратуры, аспирантуры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742">
              <w:rPr>
                <w:rFonts w:ascii="Times New Roman" w:hAnsi="Times New Roman" w:cs="Times New Roman"/>
                <w:b/>
                <w:sz w:val="20"/>
              </w:rPr>
              <w:t>Обучающиеся по программе подготовки специалистов среднего звена</w:t>
            </w:r>
          </w:p>
        </w:tc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92F06" w:rsidRPr="00374742" w:rsidTr="00D94909">
        <w:trPr>
          <w:trHeight w:val="20"/>
          <w:tblHeader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обучающимся из категории детей-сирот; лиц, потерявших в период обучения обоих родителей или единственного родителя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  <w:r w:rsidRPr="00374742">
              <w:rPr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  <w:r w:rsidRPr="00374742">
              <w:rPr>
                <w:sz w:val="20"/>
              </w:rPr>
              <w:t>копии документов, подтверждающих льготный статус</w:t>
            </w:r>
          </w:p>
        </w:tc>
        <w:tc>
          <w:tcPr>
            <w:tcW w:w="1412" w:type="pct"/>
            <w:gridSpan w:val="2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 xml:space="preserve">Материальная поддержка обучающимся из категории инвалиды </w:t>
            </w:r>
            <w:r w:rsidRPr="0037474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7474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37474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74742">
              <w:rPr>
                <w:rFonts w:ascii="Times New Roman" w:hAnsi="Times New Roman" w:cs="Times New Roman"/>
                <w:sz w:val="20"/>
              </w:rPr>
              <w:t xml:space="preserve"> группы, инвалиды с детства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  <w:r w:rsidRPr="00374742">
              <w:rPr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  <w:r w:rsidRPr="00374742">
              <w:rPr>
                <w:sz w:val="20"/>
              </w:rPr>
              <w:t>копии документов, подтверждающих льготный статус</w:t>
            </w:r>
          </w:p>
        </w:tc>
        <w:tc>
          <w:tcPr>
            <w:tcW w:w="1412" w:type="pct"/>
            <w:gridSpan w:val="2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обучающимся, подвергшимся воздействию радиации вследствие катастрофы на Чернобыльской АЭС и иных радиационных катастроф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  <w:r w:rsidRPr="00374742">
              <w:rPr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  <w:r w:rsidRPr="00374742">
              <w:rPr>
                <w:sz w:val="20"/>
              </w:rPr>
              <w:t>копии документов, подтверждающих льготный статус</w:t>
            </w:r>
          </w:p>
        </w:tc>
        <w:tc>
          <w:tcPr>
            <w:tcW w:w="1412" w:type="pct"/>
            <w:gridSpan w:val="2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студентам, являющимся членами малообеспеченных семей: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pct"/>
            <w:tcBorders>
              <w:bottom w:val="single" w:sz="4" w:space="0" w:color="auto"/>
              <w:right w:val="nil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 xml:space="preserve">справка о признании малоимущим (относящимся к лицам, среднедушевой доход которых ниже прожиточного уровня)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 - до 12000 руб.</w:t>
            </w:r>
          </w:p>
        </w:tc>
        <w:tc>
          <w:tcPr>
            <w:tcW w:w="706" w:type="pct"/>
            <w:tcBorders>
              <w:left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 - до 6000 руб.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71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обучающиеся среднедушевой доход семьи которых ниже прожиточного уровня;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Дополнительно: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4</w:t>
            </w:r>
            <w:r w:rsidRPr="00374742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в случае выхода родителя(ей) на пенсию;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пенсионного удостоверения.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со дня выхода на пенсию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если единственный родитель (или оба родителя) – неработающие пенсионеры;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копию(ии) пенсионных удостоверений родителей(ля);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рождении.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  <w:tcBorders>
              <w:top w:val="nil"/>
              <w:bottom w:val="nil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обучающимся из многодетных семей;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удостоверения многодетной семьи.</w:t>
            </w: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обучающимся из неполных семей (имеющие одного родителя).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смерти одного из родителей (в случае смерти одного из родителей);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расторжении брака (в случае, если родители находятся в разводе);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личной книжки одинокой матери/справка о рождении формы №25;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паспорта родителя, не состоящего в браке (в случае, если родители не состояли в браке);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рождении.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в случае необходимости лечения и восстановления здоровья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семестр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обучающегося.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документы, подтверждающие расходы, связанные с лечением или приобретением лекарственных и медицинских средств.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копии выписок из медицинских учреждений о полученных травмах.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копии документов с назначениями.</w:t>
            </w:r>
          </w:p>
        </w:tc>
        <w:tc>
          <w:tcPr>
            <w:tcW w:w="1412" w:type="pct"/>
            <w:gridSpan w:val="2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при рождении ребенка у обучающегося</w:t>
            </w:r>
          </w:p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рождении</w:t>
            </w:r>
          </w:p>
          <w:p w:rsidR="00C92F06" w:rsidRPr="00374742" w:rsidRDefault="00C92F06" w:rsidP="00C92F06">
            <w:pPr>
              <w:pStyle w:val="a3"/>
              <w:keepLines/>
              <w:tabs>
                <w:tab w:val="left" w:pos="384"/>
              </w:tabs>
              <w:spacing w:after="0" w:line="240" w:lineRule="auto"/>
              <w:ind w:left="0" w:firstLine="284"/>
              <w:rPr>
                <w:sz w:val="20"/>
              </w:rPr>
            </w:pP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15000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15000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 даты рождения ребенка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в случае заключения брака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заключении брака.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10000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10000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 xml:space="preserve">Срок представления документов – не более шести месяцев со дня регистрации брака 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в случае смерти (гибели) членов семьи, близких родственников (мать, отец, опекун)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смерти;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копии документов, подтверждающих родство.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30000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30000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со  дня смерти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при тяжелой болезни членов семьи, близких родственников (мать, отец, опекун, родные и сводные брат и сестра)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документы, подтверждающие расходы, связанные с лечением или приобретением лекарственных и медицинских средств;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копии выписок из медицинских учреждений о полученных травмах;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копии документов с назначениями;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копии документов, подтверждающих родство.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5000-25000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5000-25000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 даты постановки диагноза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в случае кражи, пожара и в других исключительных ситуациях</w:t>
            </w:r>
          </w:p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документальное подтверждение факта, по которому обращение обучающегося за материальной помощью может быть отнесено к этой категории (документы, подтверждающие факт несчастного случая и факт имеющихся при этом материальных затрат</w:t>
            </w:r>
            <w:r w:rsidRPr="00374742">
              <w:rPr>
                <w:sz w:val="20"/>
              </w:rPr>
              <w:t xml:space="preserve"> </w:t>
            </w:r>
          </w:p>
        </w:tc>
        <w:tc>
          <w:tcPr>
            <w:tcW w:w="1412" w:type="pct"/>
            <w:gridSpan w:val="2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по решению Стипендиальной комиссии факультета/колледжа/филиала/Института аспирантуры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со дня наступления обстоятельств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в случае потери работы родителем/опекуном (родителями/опекунами) студента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трудовой книжки родителя (родителей).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12000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12000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со дня увольнения</w:t>
            </w: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обучающимся, которые являются инвалидами и ветеранами боевых действий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учебный год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справки об инвалидности;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lastRenderedPageBreak/>
              <w:t>копия документа, подтверждающего участие данного студента в военных действиях.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lastRenderedPageBreak/>
              <w:t>10000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10000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374742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обучающимся, где оба супруга – студенты очной формы обучения (студенческие семьи)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Не более 2 раз в учебный год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свидетельства о регистрации брака;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справки из учебных заведений (для студентов других учебных заведений)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5000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5000 руб.</w:t>
            </w:r>
          </w:p>
        </w:tc>
        <w:tc>
          <w:tcPr>
            <w:tcW w:w="717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F06" w:rsidRPr="00C92F06" w:rsidTr="00D94909">
        <w:trPr>
          <w:trHeight w:val="20"/>
        </w:trPr>
        <w:tc>
          <w:tcPr>
            <w:tcW w:w="193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071" w:type="pct"/>
          </w:tcPr>
          <w:p w:rsidR="00C92F06" w:rsidRPr="00374742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Материальная поддержка в случае потери работы аспирантом</w:t>
            </w:r>
          </w:p>
        </w:tc>
        <w:tc>
          <w:tcPr>
            <w:tcW w:w="438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Единовременно</w:t>
            </w:r>
          </w:p>
        </w:tc>
        <w:tc>
          <w:tcPr>
            <w:tcW w:w="1169" w:type="pct"/>
          </w:tcPr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заявление обучающегося;</w:t>
            </w:r>
          </w:p>
          <w:p w:rsidR="00C92F06" w:rsidRPr="00374742" w:rsidRDefault="00C92F06" w:rsidP="00C92F06">
            <w:pPr>
              <w:keepLines/>
              <w:tabs>
                <w:tab w:val="left" w:pos="384"/>
              </w:tabs>
              <w:spacing w:after="0" w:line="240" w:lineRule="auto"/>
              <w:ind w:firstLine="284"/>
              <w:rPr>
                <w:sz w:val="20"/>
              </w:rPr>
            </w:pPr>
            <w:r w:rsidRPr="00374742">
              <w:rPr>
                <w:rFonts w:ascii="Times New Roman" w:eastAsia="Calibri" w:hAnsi="Times New Roman" w:cs="Times New Roman"/>
                <w:sz w:val="20"/>
              </w:rPr>
              <w:t>копия трудовой книжки обучающегося.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12000 руб.</w:t>
            </w:r>
          </w:p>
        </w:tc>
        <w:tc>
          <w:tcPr>
            <w:tcW w:w="706" w:type="pct"/>
          </w:tcPr>
          <w:p w:rsidR="00C92F06" w:rsidRPr="00374742" w:rsidRDefault="00C92F06" w:rsidP="00C92F0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12000 руб.</w:t>
            </w:r>
          </w:p>
        </w:tc>
        <w:tc>
          <w:tcPr>
            <w:tcW w:w="717" w:type="pct"/>
          </w:tcPr>
          <w:p w:rsidR="00C92F06" w:rsidRPr="00C92F06" w:rsidRDefault="00C92F06" w:rsidP="00C92F06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742">
              <w:rPr>
                <w:rFonts w:ascii="Times New Roman" w:hAnsi="Times New Roman" w:cs="Times New Roman"/>
                <w:sz w:val="20"/>
              </w:rPr>
              <w:t>Срок представления документов – не более шести месяцев со дня увольнения</w:t>
            </w:r>
          </w:p>
        </w:tc>
      </w:tr>
    </w:tbl>
    <w:p w:rsidR="00C92F06" w:rsidRPr="00190A07" w:rsidRDefault="00C92F06" w:rsidP="00C92F06">
      <w:pPr>
        <w:shd w:val="clear" w:color="auto" w:fill="FFFFFF"/>
        <w:spacing w:line="240" w:lineRule="auto"/>
        <w:ind w:left="-142"/>
        <w:rPr>
          <w:rFonts w:ascii="yandex-sans" w:eastAsia="Times New Roman" w:hAnsi="yandex-sans" w:cs="Times New Roman"/>
          <w:lang w:eastAsia="ru-RU"/>
        </w:rPr>
      </w:pPr>
    </w:p>
    <w:p w:rsidR="00142CF1" w:rsidRDefault="00142CF1" w:rsidP="00C92F06">
      <w:pPr>
        <w:pageBreakBefore/>
        <w:tabs>
          <w:tab w:val="left" w:pos="993"/>
        </w:tabs>
        <w:spacing w:after="0" w:line="240" w:lineRule="auto"/>
        <w:ind w:left="8647"/>
        <w:rPr>
          <w:rFonts w:ascii="Times New Roman" w:hAnsi="Times New Roman" w:cs="Times New Roman"/>
          <w:sz w:val="28"/>
          <w:szCs w:val="28"/>
          <w:lang w:bidi="ru-RU"/>
        </w:rPr>
        <w:sectPr w:rsidR="00142CF1" w:rsidSect="00A035E8">
          <w:headerReference w:type="even" r:id="rId8"/>
          <w:headerReference w:type="default" r:id="rId9"/>
          <w:pgSz w:w="16840" w:h="11900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7A9B" w:rsidRPr="00307A9B" w:rsidRDefault="00307A9B" w:rsidP="00A035E8">
      <w:pPr>
        <w:tabs>
          <w:tab w:val="left" w:pos="993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8"/>
          <w:lang w:bidi="ru-RU"/>
        </w:rPr>
      </w:pPr>
      <w:r w:rsidRPr="00307A9B">
        <w:rPr>
          <w:rFonts w:ascii="Times New Roman" w:hAnsi="Times New Roman" w:cs="Times New Roman"/>
          <w:sz w:val="24"/>
          <w:szCs w:val="28"/>
          <w:lang w:bidi="ru-RU"/>
        </w:rPr>
        <w:lastRenderedPageBreak/>
        <w:t xml:space="preserve">Приложение </w:t>
      </w:r>
      <w:r w:rsidR="00091183">
        <w:rPr>
          <w:rFonts w:ascii="Times New Roman" w:hAnsi="Times New Roman" w:cs="Times New Roman"/>
          <w:sz w:val="24"/>
          <w:szCs w:val="28"/>
          <w:lang w:bidi="ru-RU"/>
        </w:rPr>
        <w:t>№</w:t>
      </w:r>
      <w:r w:rsidRPr="00307A9B">
        <w:rPr>
          <w:rFonts w:ascii="Times New Roman" w:hAnsi="Times New Roman" w:cs="Times New Roman"/>
          <w:sz w:val="24"/>
          <w:szCs w:val="28"/>
          <w:lang w:bidi="ru-RU"/>
        </w:rPr>
        <w:t>2</w:t>
      </w:r>
    </w:p>
    <w:p w:rsidR="00307A9B" w:rsidRPr="00C92F06" w:rsidRDefault="00091183" w:rsidP="00A035E8">
      <w:pPr>
        <w:tabs>
          <w:tab w:val="left" w:pos="993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8"/>
          <w:lang w:bidi="ru-RU"/>
        </w:rPr>
        <w:t>к Регламенту</w:t>
      </w:r>
    </w:p>
    <w:p w:rsidR="00307A9B" w:rsidRPr="00A035E8" w:rsidRDefault="00307A9B" w:rsidP="00307A9B">
      <w:pPr>
        <w:tabs>
          <w:tab w:val="left" w:pos="993"/>
        </w:tabs>
        <w:spacing w:after="0" w:line="240" w:lineRule="auto"/>
        <w:ind w:left="8647"/>
        <w:rPr>
          <w:rFonts w:ascii="Times New Roman" w:hAnsi="Times New Roman" w:cs="Times New Roman"/>
          <w:sz w:val="20"/>
          <w:szCs w:val="28"/>
          <w:lang w:bidi="ru-RU"/>
        </w:rPr>
      </w:pPr>
    </w:p>
    <w:p w:rsidR="00307A9B" w:rsidRPr="00142CF1" w:rsidRDefault="00091183" w:rsidP="00307A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</w:t>
      </w:r>
      <w:r w:rsidR="00307A9B" w:rsidRPr="00142CF1">
        <w:rPr>
          <w:rFonts w:ascii="Times New Roman" w:hAnsi="Times New Roman" w:cs="Times New Roman"/>
          <w:b/>
          <w:sz w:val="24"/>
          <w:szCs w:val="24"/>
        </w:rPr>
        <w:t>рикреплени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07A9B" w:rsidRPr="00142CF1">
        <w:rPr>
          <w:rFonts w:ascii="Times New Roman" w:hAnsi="Times New Roman" w:cs="Times New Roman"/>
          <w:b/>
          <w:sz w:val="24"/>
          <w:szCs w:val="24"/>
        </w:rPr>
        <w:t xml:space="preserve"> департаментов и кафедр к факультетам</w:t>
      </w:r>
    </w:p>
    <w:p w:rsidR="00307A9B" w:rsidRPr="00142CF1" w:rsidRDefault="00307A9B" w:rsidP="00307A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F1">
        <w:rPr>
          <w:rFonts w:ascii="Times New Roman" w:hAnsi="Times New Roman" w:cs="Times New Roman"/>
          <w:b/>
          <w:sz w:val="24"/>
          <w:szCs w:val="24"/>
        </w:rPr>
        <w:t>по вопросам назначения аспирантам материальной поддержки</w:t>
      </w:r>
    </w:p>
    <w:p w:rsidR="00307A9B" w:rsidRPr="00A035E8" w:rsidRDefault="00307A9B" w:rsidP="00307A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b"/>
        <w:tblW w:w="5000" w:type="pct"/>
        <w:tblLook w:val="0520" w:firstRow="1" w:lastRow="0" w:firstColumn="0" w:lastColumn="1" w:noHBand="0" w:noVBand="1"/>
      </w:tblPr>
      <w:tblGrid>
        <w:gridCol w:w="4958"/>
        <w:gridCol w:w="2549"/>
        <w:gridCol w:w="2682"/>
      </w:tblGrid>
      <w:tr w:rsidR="00307A9B" w:rsidRPr="00A035E8" w:rsidTr="00A035E8">
        <w:trPr>
          <w:trHeight w:val="20"/>
        </w:trPr>
        <w:tc>
          <w:tcPr>
            <w:tcW w:w="2433" w:type="pct"/>
            <w:vAlign w:val="center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​Департаменты и кафедры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составе факультета</w:t>
            </w:r>
          </w:p>
        </w:tc>
        <w:tc>
          <w:tcPr>
            <w:tcW w:w="1251" w:type="pct"/>
            <w:vAlign w:val="center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Общеуниверситетские департаменты и кафедры</w:t>
            </w:r>
          </w:p>
        </w:tc>
        <w:tc>
          <w:tcPr>
            <w:tcW w:w="1316" w:type="pct"/>
            <w:vAlign w:val="center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Факультет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мировой экономики и международного бизнеса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мировых финансов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экономической теории</w:t>
            </w:r>
          </w:p>
        </w:tc>
        <w:tc>
          <w:tcPr>
            <w:tcW w:w="1316" w:type="pct"/>
            <w:hideMark/>
          </w:tcPr>
          <w:p w:rsidR="00307A9B" w:rsidRPr="00A035E8" w:rsidRDefault="00307A9B" w:rsidP="00A035E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​​Факультет международных экономических отношений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общественных финансов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банковского дела и финансовых рынков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страхования и экономики социальной сферы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Кафедра «Макроэкономическое прогнозирование и планирование»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Кафедра «Государственный финансовый контроль и казначейское дело»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​Финансовый факультет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корпоративных финансов и корпоративного управления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экономической безопасности и управления рисками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отраслевых рынков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туризма и гостиничного бизнеса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логистики и маркетинга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​Факультет экономики и бизнеса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менеджмента и инноваций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управления бизнесом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финансового и инвестиционного менеджмента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Кафедра «Государственное и муниципальное управление»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​Факультет «Высшая школа управления»​​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бизнес-информатики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информационной безопасности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анализа данных и машинного обучения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математики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Кафедра «Системный анализ в экономике»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​Факультет информационных технологий и анализа больших данных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аудита и корпоративной отчетности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бизнес-аналитики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налогов и налогового администрирования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Факультет налогов, аудита и бизнес-анализа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социологии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политологии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массовых коммуникаций и медиабизнеса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психологии и развития человеческого капитала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гуманитарных наук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​Факультет социальных наук и массовых коммуникаций</w:t>
            </w:r>
          </w:p>
        </w:tc>
      </w:tr>
      <w:tr w:rsidR="00307A9B" w:rsidRPr="00A035E8" w:rsidTr="00A035E8">
        <w:trPr>
          <w:trHeight w:val="20"/>
        </w:trPr>
        <w:tc>
          <w:tcPr>
            <w:tcW w:w="2433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​Департамент правового регулирования экономической деятельности </w:t>
            </w:r>
          </w:p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Департамент международного и публичного права</w:t>
            </w:r>
          </w:p>
        </w:tc>
        <w:tc>
          <w:tcPr>
            <w:tcW w:w="1251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sz w:val="21"/>
                <w:szCs w:val="21"/>
              </w:rPr>
              <w:t>​</w:t>
            </w:r>
          </w:p>
        </w:tc>
        <w:tc>
          <w:tcPr>
            <w:tcW w:w="1316" w:type="pct"/>
            <w:hideMark/>
          </w:tcPr>
          <w:p w:rsidR="00307A9B" w:rsidRPr="00A035E8" w:rsidRDefault="00307A9B" w:rsidP="00142C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035E8">
              <w:rPr>
                <w:rFonts w:ascii="Times New Roman" w:hAnsi="Times New Roman" w:cs="Times New Roman"/>
                <w:bCs/>
                <w:sz w:val="21"/>
                <w:szCs w:val="21"/>
              </w:rPr>
              <w:t>​Юридический факультет</w:t>
            </w:r>
          </w:p>
        </w:tc>
      </w:tr>
    </w:tbl>
    <w:p w:rsidR="00307A9B" w:rsidRDefault="00307A9B" w:rsidP="00A035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307A9B" w:rsidSect="00A035E8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1E" w:rsidRDefault="0098661E" w:rsidP="00A6333F">
      <w:pPr>
        <w:spacing w:after="0" w:line="240" w:lineRule="auto"/>
      </w:pPr>
      <w:r>
        <w:separator/>
      </w:r>
    </w:p>
  </w:endnote>
  <w:endnote w:type="continuationSeparator" w:id="0">
    <w:p w:rsidR="0098661E" w:rsidRDefault="0098661E" w:rsidP="00A6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1E" w:rsidRDefault="0098661E" w:rsidP="00A6333F">
      <w:pPr>
        <w:spacing w:after="0" w:line="240" w:lineRule="auto"/>
      </w:pPr>
      <w:r>
        <w:separator/>
      </w:r>
    </w:p>
  </w:footnote>
  <w:footnote w:type="continuationSeparator" w:id="0">
    <w:p w:rsidR="0098661E" w:rsidRDefault="0098661E" w:rsidP="00A6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3F" w:rsidRDefault="00A6333F" w:rsidP="00440921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333F" w:rsidRDefault="00A633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272669"/>
      <w:docPartObj>
        <w:docPartGallery w:val="Page Numbers (Top of Page)"/>
        <w:docPartUnique/>
      </w:docPartObj>
    </w:sdtPr>
    <w:sdtEndPr/>
    <w:sdtContent>
      <w:p w:rsidR="00A035E8" w:rsidRDefault="00A03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6C">
          <w:rPr>
            <w:noProof/>
          </w:rPr>
          <w:t>4</w:t>
        </w:r>
        <w:r>
          <w:fldChar w:fldCharType="end"/>
        </w:r>
      </w:p>
    </w:sdtContent>
  </w:sdt>
  <w:p w:rsidR="00A6333F" w:rsidRDefault="00A633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3E7"/>
    <w:multiLevelType w:val="hybridMultilevel"/>
    <w:tmpl w:val="819CD4DE"/>
    <w:lvl w:ilvl="0" w:tplc="F53A701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4916E4"/>
    <w:multiLevelType w:val="hybridMultilevel"/>
    <w:tmpl w:val="CF92CBDC"/>
    <w:lvl w:ilvl="0" w:tplc="4EA6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67CF1"/>
    <w:multiLevelType w:val="hybridMultilevel"/>
    <w:tmpl w:val="161E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4348"/>
    <w:multiLevelType w:val="hybridMultilevel"/>
    <w:tmpl w:val="CF92CBDC"/>
    <w:lvl w:ilvl="0" w:tplc="4EA6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03169"/>
    <w:multiLevelType w:val="hybridMultilevel"/>
    <w:tmpl w:val="6A747B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698"/>
    <w:multiLevelType w:val="hybridMultilevel"/>
    <w:tmpl w:val="14E286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71F2009"/>
    <w:multiLevelType w:val="multilevel"/>
    <w:tmpl w:val="7E143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4B65C4"/>
    <w:multiLevelType w:val="hybridMultilevel"/>
    <w:tmpl w:val="CF92CBDC"/>
    <w:lvl w:ilvl="0" w:tplc="4EA6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D"/>
    <w:rsid w:val="00055F91"/>
    <w:rsid w:val="00066946"/>
    <w:rsid w:val="000805C5"/>
    <w:rsid w:val="00091183"/>
    <w:rsid w:val="000E3B90"/>
    <w:rsid w:val="00142CF1"/>
    <w:rsid w:val="0017275B"/>
    <w:rsid w:val="00182093"/>
    <w:rsid w:val="001A466E"/>
    <w:rsid w:val="00223C8B"/>
    <w:rsid w:val="00227976"/>
    <w:rsid w:val="002A2BBE"/>
    <w:rsid w:val="002F1EC8"/>
    <w:rsid w:val="00307A9B"/>
    <w:rsid w:val="00357693"/>
    <w:rsid w:val="00374742"/>
    <w:rsid w:val="003B4A7D"/>
    <w:rsid w:val="003E60DF"/>
    <w:rsid w:val="004549CC"/>
    <w:rsid w:val="004F220D"/>
    <w:rsid w:val="00543E6C"/>
    <w:rsid w:val="00554A2C"/>
    <w:rsid w:val="00576962"/>
    <w:rsid w:val="0058268B"/>
    <w:rsid w:val="00631558"/>
    <w:rsid w:val="006A0406"/>
    <w:rsid w:val="006A6FC2"/>
    <w:rsid w:val="006F057D"/>
    <w:rsid w:val="00744A91"/>
    <w:rsid w:val="00784DB0"/>
    <w:rsid w:val="0079145C"/>
    <w:rsid w:val="0088176E"/>
    <w:rsid w:val="00952C15"/>
    <w:rsid w:val="0098661E"/>
    <w:rsid w:val="009C0936"/>
    <w:rsid w:val="009D1210"/>
    <w:rsid w:val="00A035E8"/>
    <w:rsid w:val="00A60173"/>
    <w:rsid w:val="00A60243"/>
    <w:rsid w:val="00A6333F"/>
    <w:rsid w:val="00B261E8"/>
    <w:rsid w:val="00B81196"/>
    <w:rsid w:val="00B852D8"/>
    <w:rsid w:val="00B91131"/>
    <w:rsid w:val="00BA50C9"/>
    <w:rsid w:val="00C06B38"/>
    <w:rsid w:val="00C92F06"/>
    <w:rsid w:val="00CE05EB"/>
    <w:rsid w:val="00CE12A6"/>
    <w:rsid w:val="00D80B74"/>
    <w:rsid w:val="00DA3038"/>
    <w:rsid w:val="00DA4616"/>
    <w:rsid w:val="00DC7FB7"/>
    <w:rsid w:val="00DF5B65"/>
    <w:rsid w:val="00E21D71"/>
    <w:rsid w:val="00E3625C"/>
    <w:rsid w:val="00EC5363"/>
    <w:rsid w:val="00ED21C5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0D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784D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84D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0"/>
    <w:rsid w:val="00784D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784D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84DB0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rsid w:val="00784DB0"/>
    <w:pPr>
      <w:widowControl w:val="0"/>
      <w:shd w:val="clear" w:color="auto" w:fill="FFFFFF"/>
      <w:spacing w:before="42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784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84DB0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6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33F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A6333F"/>
  </w:style>
  <w:style w:type="paragraph" w:styleId="a9">
    <w:name w:val="Balloon Text"/>
    <w:basedOn w:val="a"/>
    <w:link w:val="aa"/>
    <w:uiPriority w:val="99"/>
    <w:semiHidden/>
    <w:unhideWhenUsed/>
    <w:rsid w:val="00BA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50C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F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A0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35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54EE-0C3A-4F51-A4F1-E0BC1450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 внесении изменений</vt:lpstr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Никитина Виктория Алексеевна</cp:lastModifiedBy>
  <cp:revision>2</cp:revision>
  <cp:lastPrinted>2020-11-02T08:23:00Z</cp:lastPrinted>
  <dcterms:created xsi:type="dcterms:W3CDTF">2021-03-31T13:19:00Z</dcterms:created>
  <dcterms:modified xsi:type="dcterms:W3CDTF">2021-03-31T13:19:00Z</dcterms:modified>
</cp:coreProperties>
</file>