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Финансовые технологии и финансовый инжиниринг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38.03.01 «Экономика»,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>бакалавриат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3. Выступление с докладом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6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6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8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Тест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Экзаменационное задание содержит три вопроса: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тестовые задания;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практико-ориентированное задание – задачи, кейсы.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LibreOffice/7.0.6.2$Linux_X86_64 LibreOffice_project/00$Build-2</Application>
  <AppVersion>15.0000</AppVersion>
  <Pages>1</Pages>
  <Words>119</Words>
  <Characters>712</Characters>
  <CharactersWithSpaces>800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2024-02-13T04:47:00Z</dcterms:created>
  <dc:creator>Victor Kalmykov</dc:creator>
  <dc:description/>
  <dc:language>ru-RU</dc:language>
  <cp:lastModifiedBy/>
  <dcterms:modified xsi:type="dcterms:W3CDTF">2024-02-20T13:05:24Z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