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учреждение высшего образования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(Финансовый университет)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Департамент финансовых рынков и финансового инжиниринга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Финансового факультета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tbl>
      <w:tblPr>
        <w:tblW w:w="4200" w:type="dxa"/>
        <w:jc w:val="left"/>
        <w:tblInd w:w="59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0"/>
      </w:tblGrid>
      <w:tr>
        <w:trPr/>
        <w:tc>
          <w:tcPr>
            <w:tcW w:w="420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 xml:space="preserve">Протокол заседания Департамента 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от 30 августа 2023 года №1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ТЕМАТИКА ВЫПУСКНЫХ КВАЛИФИКАЦИОННЫХ РАБОТ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2023-2024 учебный год </w:t>
      </w:r>
    </w:p>
    <w:p>
      <w:pPr>
        <w:pStyle w:val="Normal"/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eastAsia="Calibri" w:ascii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sz w:val="28"/>
          <w:szCs w:val="28"/>
          <w:lang w:eastAsia="ru-RU"/>
        </w:rPr>
        <w:t>агистратура</w:t>
      </w:r>
    </w:p>
    <w:p>
      <w:pPr>
        <w:pStyle w:val="Normal"/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Направление подготовки 38.04.01 «Экономика»,</w:t>
      </w:r>
    </w:p>
    <w:p>
      <w:pPr>
        <w:pStyle w:val="Normal"/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направленность программы «Ценные бумаги и финансовый инжиниринг»</w:t>
      </w:r>
    </w:p>
    <w:p>
      <w:pPr>
        <w:pStyle w:val="Normal"/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jc w:val="center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(очная форма обучения) </w:t>
      </w:r>
    </w:p>
    <w:p>
      <w:pPr>
        <w:pStyle w:val="Normal"/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Маркетплейсы на финансовом рынке: продукты, архитектура, влияние на цены финансовых инструментов.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Инвестирование пенсионных средств: пути снижения и диверсификации рисков (</w:t>
      </w:r>
      <w:r>
        <w:rPr>
          <w:rFonts w:ascii="Times New Roman" w:hAnsi="Times New Roman"/>
          <w:i/>
          <w:sz w:val="28"/>
          <w:szCs w:val="28"/>
        </w:rPr>
        <w:t>пояснение: с использованием конкретных примеров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рынка облигационных займов в России как источника финансирования компаний (</w:t>
      </w:r>
      <w:r>
        <w:rPr>
          <w:rFonts w:ascii="Times New Roman" w:hAnsi="Times New Roman"/>
          <w:i/>
          <w:sz w:val="28"/>
          <w:szCs w:val="28"/>
        </w:rPr>
        <w:t>пояснение: с анализом на уровне экономики и отраслей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развития российского рынка ипотечных ценных бумаг: структура, динамика, ценовые характеристики.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Цифровая трансформация инфраструктуры фондового рынка (</w:t>
      </w:r>
      <w:r>
        <w:rPr>
          <w:rFonts w:ascii="Times New Roman" w:hAnsi="Times New Roman"/>
          <w:i/>
          <w:sz w:val="28"/>
          <w:szCs w:val="28"/>
        </w:rPr>
        <w:t>пояснение: зарубежный и российский опыт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Структурные облигации: вопросы регулирования и практического использования в России.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российского рынка акций в контексте гипотез информационной эффективности.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Ценообразование на первичном рынке акций на развитых и формирующихся рынках (</w:t>
      </w:r>
      <w:r>
        <w:rPr>
          <w:rFonts w:ascii="Times New Roman" w:hAnsi="Times New Roman"/>
          <w:i/>
          <w:sz w:val="28"/>
          <w:szCs w:val="28"/>
        </w:rPr>
        <w:t>пояснение: можно выбрать 2–3 страны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Риски клиринговой деятельности. Роль центрального контрагента для биржевого рынка.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индустрии пенсионных фондов как источника долгосрочных финансовых ресурсов (</w:t>
      </w:r>
      <w:r>
        <w:rPr>
          <w:rFonts w:ascii="Times New Roman" w:hAnsi="Times New Roman"/>
          <w:i/>
          <w:sz w:val="28"/>
          <w:szCs w:val="28"/>
        </w:rPr>
        <w:t>пояснение: в России, с использованием данных по зарубежным странам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рынка муниципальных ценных бумаг в России (</w:t>
      </w:r>
      <w:r>
        <w:rPr>
          <w:rFonts w:ascii="Times New Roman" w:hAnsi="Times New Roman"/>
          <w:i/>
          <w:sz w:val="28"/>
          <w:szCs w:val="28"/>
        </w:rPr>
        <w:t>пояснение: со сравнительным анализом данных по зарубежным странам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эффективности операций центральных банков с ценными бумагами (</w:t>
      </w:r>
      <w:r>
        <w:rPr>
          <w:rFonts w:ascii="Times New Roman" w:hAnsi="Times New Roman"/>
          <w:i/>
          <w:sz w:val="28"/>
          <w:szCs w:val="28"/>
        </w:rPr>
        <w:t>пояснение: на примере 2–3 стран, включая Россию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использования фундаментального анализа для оценки инвестиционной привлекательности компаний (</w:t>
      </w:r>
      <w:r>
        <w:rPr>
          <w:rFonts w:ascii="Times New Roman" w:hAnsi="Times New Roman"/>
          <w:i/>
          <w:sz w:val="28"/>
          <w:szCs w:val="28"/>
        </w:rPr>
        <w:t>пояснение: на примере конкретной отрасли, которая должна быть включена в название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индикаторы: качество прогноза на развитом и формирующемся рынке (</w:t>
      </w:r>
      <w:r>
        <w:rPr>
          <w:rFonts w:ascii="Times New Roman" w:hAnsi="Times New Roman"/>
          <w:i/>
          <w:sz w:val="28"/>
          <w:szCs w:val="28"/>
        </w:rPr>
        <w:t>пояснение: обязательно, в т.ч., на российском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торговых стратегий на российском биржевом рынке.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хеджирования рисков на российском фондовом рынке с помощью внебиржевых производных финансовых инструментов.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инжиниринг и конструирование выпуска ценных бумаг (</w:t>
      </w:r>
      <w:r>
        <w:rPr>
          <w:rFonts w:ascii="Times New Roman" w:hAnsi="Times New Roman"/>
          <w:i/>
          <w:sz w:val="28"/>
          <w:szCs w:val="28"/>
        </w:rPr>
        <w:t>пояснение: с обязательным рассмотрением предлагаемого гипотетического выпуска для конкретной компании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производных финансовых инструментов в практике страхования рисков финансово-хозяйственной деятельности предприятий (</w:t>
      </w:r>
      <w:r>
        <w:rPr>
          <w:rFonts w:ascii="Times New Roman" w:hAnsi="Times New Roman"/>
          <w:i/>
          <w:sz w:val="28"/>
          <w:szCs w:val="28"/>
        </w:rPr>
        <w:t>пояснение: товарные, финансовые, биржевые и внебиржевые… — конкретизация в названии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Клиринговая деятельность на рынке ценных бумаг: риски участников расчетов и пути их снижения.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Депозитарная инфраструктура рынка ценных бумаг в России и пути ее совершенствования.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инвестиций в компанию посредством облигационного займа (</w:t>
      </w:r>
      <w:r>
        <w:rPr>
          <w:rFonts w:ascii="Times New Roman" w:hAnsi="Times New Roman"/>
          <w:i/>
          <w:sz w:val="28"/>
          <w:szCs w:val="28"/>
        </w:rPr>
        <w:t>пояснение: на примере конкретной компании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доходности традиционных и «зеленых» облигаций в мире и России: есть ли премия?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динамики рынков акций с помощью эмпирических многофакторных моделей.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инвестиционной привлекательности компаний с использованием технологий Big Data и Data Science (</w:t>
      </w:r>
      <w:r>
        <w:rPr>
          <w:rFonts w:ascii="Times New Roman" w:hAnsi="Times New Roman"/>
          <w:i/>
          <w:sz w:val="28"/>
          <w:szCs w:val="28"/>
        </w:rPr>
        <w:t>пояснение: для этого требуются не только компетенции, но и доступ к массивам информационных ресурсов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применение структурных продуктов в практике финансирования деятельности финансовых институтов: российский и зарубежный опыт.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индикатора развитости финансового рынка.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индикаторов финансового развития и ее использование в моделях, объясняющих динамику экономического развития.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каналов взаимосвязи развития рынка ценных бумаг и экономического роста.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подхода к определению оптимального объема и структуры финансового рынка.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Эмпирический анализ роли финансового рынка в формировании долгосрочных финансовых ресурсов для развития экономики.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активами хедж-фондов (</w:t>
      </w:r>
      <w:r>
        <w:rPr>
          <w:rFonts w:ascii="Times New Roman" w:hAnsi="Times New Roman"/>
          <w:i/>
          <w:sz w:val="28"/>
          <w:szCs w:val="28"/>
        </w:rPr>
        <w:t>пояснение: работа должна выполняться на основе анализа результатов торговли, полученных при реализации упомянутых в теме стратегий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Торговые стратегии краткосрочной торговли на фондовом рынке: арбитраж, парный трейдинг и баскет-трейдинг.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торговых стратегий на основе моделей ценообразования опционов (</w:t>
      </w:r>
      <w:r>
        <w:rPr>
          <w:rFonts w:ascii="Times New Roman" w:hAnsi="Times New Roman"/>
          <w:i/>
          <w:sz w:val="28"/>
          <w:szCs w:val="28"/>
        </w:rPr>
        <w:t>пояснение: с тестированием моделей на конкретных примерах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моделей ценообразования опционов (</w:t>
      </w:r>
      <w:r>
        <w:rPr>
          <w:rFonts w:ascii="Times New Roman" w:hAnsi="Times New Roman"/>
          <w:i/>
          <w:sz w:val="28"/>
          <w:szCs w:val="28"/>
        </w:rPr>
        <w:t>пояснение: с тестированием моделей на конкретных примерах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торговых стратегий на основе нелинейного арбитража на опционном рынке (</w:t>
      </w:r>
      <w:r>
        <w:rPr>
          <w:rFonts w:ascii="Times New Roman" w:hAnsi="Times New Roman"/>
          <w:i/>
          <w:sz w:val="28"/>
          <w:szCs w:val="28"/>
        </w:rPr>
        <w:t>пояснение: с тестированием моделей на конкретных примерах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структурных изменений на рынке облигаций в условиях изменения монетарной политики.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структурных изменений на рынке облигаций в условиях санкций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факторов, определяющих параметры долговых рынков развивающихся экономик.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Бенчмарки на денежном рынке: анализ и проблемы мировой и российской практики.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методов торговли облигациями по кривой доходности.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ESG стратегий инвестирования на фондовом рынке (</w:t>
      </w:r>
      <w:r>
        <w:rPr>
          <w:rFonts w:ascii="Times New Roman" w:hAnsi="Times New Roman"/>
          <w:i/>
          <w:sz w:val="28"/>
          <w:szCs w:val="28"/>
        </w:rPr>
        <w:t>пояснение: зарубежная и российская практика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Саморегулируемые организации в сфере финансового рынка и их роль в системе ПОД/ФТ.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использования виртуальных валют и связанные с этим риски для финансовых систем.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Типологии незаконных финансовых операций на рынке ценных бумаг.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Риски использования виртуальных валют в целях отмывания доходов и финансирования терроризма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деятельности профессиональных участников рынка ценных бумаг как субъектов (агентов) первичного финансового мониторинга.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Инвестиционные платформы как участники финансового рынка (</w:t>
      </w:r>
      <w:r>
        <w:rPr>
          <w:rFonts w:ascii="Times New Roman" w:hAnsi="Times New Roman"/>
          <w:i/>
          <w:sz w:val="28"/>
          <w:szCs w:val="28"/>
        </w:rPr>
        <w:t>на примере российской и зарубежной практики).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Новая ценная бумага – «цифровое свидетельство»: сущность, возможности использования, риски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Сравнительная характеристика отрасли коллективного инвестирования в России и в зарубежной практике (</w:t>
      </w:r>
      <w:r>
        <w:rPr>
          <w:rFonts w:ascii="Times New Roman" w:hAnsi="Times New Roman"/>
          <w:i/>
          <w:sz w:val="28"/>
          <w:szCs w:val="28"/>
        </w:rPr>
        <w:t>на примере конкретных государств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Эмиссия ценных бумаг компаниями «второго» эшелона: возможности и риски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Эмпирический анализ аллокативной функции рынка ценных бумаг с помощью декомпозиции референтного фондового индекса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Дивидендные акции на рынке ценных бумаг: анализ и стратегии инвестирования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стратегии пассивного инвестирования и причин их доминирования на рынке инструментов для коллективных инвесторов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Ожидания по процентной ставке и сюрпризы монетарной политики в динамике инструментов фондового рынка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прогноз фондового рынка в привязке к текущей стадии делового цикла.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Операции Центрального банка Российской Федерации на открытом рынке (</w:t>
      </w:r>
      <w:r>
        <w:rPr>
          <w:rFonts w:ascii="Times New Roman" w:hAnsi="Times New Roman"/>
          <w:i/>
          <w:sz w:val="28"/>
          <w:szCs w:val="28"/>
        </w:rPr>
        <w:t>пояснение: с построением эконометрической модели влияния этих операций на макроэкономические показатели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рынка федеральных облигаций в Российской Федерации (</w:t>
      </w:r>
      <w:r>
        <w:rPr>
          <w:rFonts w:ascii="Times New Roman" w:hAnsi="Times New Roman"/>
          <w:i/>
          <w:sz w:val="28"/>
          <w:szCs w:val="28"/>
        </w:rPr>
        <w:t>пояснение: с построением эконометрической модели влияния объемов эмиссии и доходности ОФЗ на показатели финансового рынка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рынка цифровых финансовых активов в России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Волатильность рынка виртуальных валют: причины, последствия и уроки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Направления развития корпоративного комплаенса на финансовом рынке России.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Риски ОД/ФТ и противодействие легализации преступных доходов на финансовом рынке России.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RegTech на финансовом рынке России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антиотмывочного комплаенса на финансовом рынке России.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цифровых финансовых активов как способа привлечения капитала для бизнеса (</w:t>
      </w:r>
      <w:r>
        <w:rPr>
          <w:rFonts w:ascii="Times New Roman" w:hAnsi="Times New Roman"/>
          <w:i/>
          <w:sz w:val="28"/>
          <w:szCs w:val="28"/>
        </w:rPr>
        <w:t>пояснение: с использованием и разбором конкретных примеров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Цифровизация индустрии ценных бумаг: модели и эффекты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портфельной политики управляющих компаний России (</w:t>
      </w:r>
      <w:r>
        <w:rPr>
          <w:rFonts w:ascii="Times New Roman" w:hAnsi="Times New Roman"/>
          <w:i/>
          <w:sz w:val="28"/>
          <w:szCs w:val="28"/>
        </w:rPr>
        <w:t>пояснение: с разработкой и тестированием портфеля ценных бумаг для инвестиционного фонда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доходности портфелей инвестиционных фондов России (</w:t>
      </w:r>
      <w:r>
        <w:rPr>
          <w:rFonts w:ascii="Times New Roman" w:hAnsi="Times New Roman"/>
          <w:i/>
          <w:sz w:val="28"/>
          <w:szCs w:val="28"/>
        </w:rPr>
        <w:t>пояснение: ретроспективный анализ начиная с начала 2000х годов, с попыткой периодизации и оценки влияния важнейших событий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финансового рынка Ирана в условиях санкций (</w:t>
      </w:r>
      <w:r>
        <w:rPr>
          <w:rFonts w:ascii="Times New Roman" w:hAnsi="Times New Roman"/>
          <w:i/>
          <w:sz w:val="28"/>
          <w:szCs w:val="28"/>
        </w:rPr>
        <w:t>пояснение: требуется поиск и обобщение большого количества текстов на иностранном языке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влияния внутренних и внешних факторов на цены акций китайских компаний (</w:t>
      </w:r>
      <w:bookmarkStart w:id="0" w:name="_GoBack"/>
      <w:r>
        <w:rPr>
          <w:rFonts w:ascii="Times New Roman" w:hAnsi="Times New Roman"/>
          <w:i/>
          <w:sz w:val="28"/>
          <w:szCs w:val="28"/>
        </w:rPr>
        <w:t>пояснение: с учетом сегментации рынка; предусматривает проведение эконометрического анализа</w:t>
      </w:r>
      <w:bookmarkEnd w:id="0"/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инвестирования на рынке акций и облигаций Индии для российских инвесторов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криптовалюты и противодействие её использованию в противоправной деятельности.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Мошенничество в отношении граждан в современных условиях: виды, инструменты, механизмы.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ind w:left="144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Руководитель магистерской программы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«Ценные бумаги и финансовый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инжиниринг», д.э.н., профессор   </w:t>
        <w:tab/>
        <w:tab/>
        <w:tab/>
        <w:tab/>
        <w:tab/>
        <w:t xml:space="preserve">                     Б. Б. Рубцов</w:t>
      </w:r>
    </w:p>
    <w:sectPr>
      <w:type w:val="nextPage"/>
      <w:pgSz w:w="11906" w:h="16838"/>
      <w:pgMar w:left="1134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 w:customStyle="1">
    <w:name w:val="НИР_список"/>
    <w:basedOn w:val="Normal"/>
    <w:qFormat/>
    <w:pPr>
      <w:numPr>
        <w:ilvl w:val="0"/>
        <w:numId w:val="1"/>
      </w:numPr>
      <w:shd w:val="clear" w:color="auto" w:fill="FFFFFB"/>
      <w:tabs>
        <w:tab w:val="clear" w:pos="708"/>
        <w:tab w:val="left" w:pos="851" w:leader="none"/>
        <w:tab w:val="left" w:pos="1021" w:leader="none"/>
        <w:tab w:val="left" w:pos="1134" w:leader="none"/>
      </w:tabs>
      <w:spacing w:lineRule="auto" w:line="360" w:before="0" w:after="0"/>
      <w:ind w:left="567" w:hanging="567"/>
      <w:jc w:val="both"/>
    </w:pPr>
    <w:rPr>
      <w:rFonts w:ascii="Times New Roman" w:hAnsi="Times New Roman"/>
      <w:spacing w:val="-4"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Application>LibreOffice/7.0.6.2$Linux_X86_64 LibreOffice_project/00$Build-2</Application>
  <AppVersion>15.0000</AppVersion>
  <Pages>5</Pages>
  <Words>1055</Words>
  <Characters>7741</Characters>
  <CharactersWithSpaces>8675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2023-09-17T19:31:00Z</dcterms:created>
  <dc:creator>Жигун Мария Евгеньевна</dc:creator>
  <dc:description/>
  <dc:language>ru-RU</dc:language>
  <cp:lastModifiedBy/>
  <dcterms:modified xsi:type="dcterms:W3CDTF">2023-10-02T18:28:17Z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