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учреждение высшего образования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(Финансовый университет)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Департамент финансовых рынков и финансового инжиниринга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Финансового факультета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4260" w:type="dxa"/>
        <w:jc w:val="left"/>
        <w:tblInd w:w="58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</w:tblGrid>
      <w:tr>
        <w:trPr/>
        <w:tc>
          <w:tcPr>
            <w:tcW w:w="426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Протокол заседания Департамента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от 30 августа 2023 года №1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ТЕМАТИКА ВЫПУСКНЫХ КВАЛИФИКАЦИОННЫХ РАБОТ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2023-2024 учебный год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агистратура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Направление подготовки 38.04.08 «Финансы и кредит»,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направленность программы «Финансовая математика и анализ рынков»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(очная форма обучения) 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Прогнозирование динамики финансовых рынков с помощью (линейных/ нелинейных) моделей.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Прогнозирование динамики рынка акций на основе факторного анализа (на примере рынка отдельной страны или эмитента).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методики факторных моделей анализа динамики рынка биржевого товара (нефти, золота и т.д. – выбирается студентом).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Прогнозирование цен биржевых активов (валюта, нефть, цветные металлы, драгоценные металлы, зерно – по выбору) на основе анализа срочного рынка.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методики факторных моделей анализа динамики валютного рынка (выбирается студентом).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Оценка динамики рынков акций с помощью эмпирической многофакторной модели.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Разработка инвестиционной стратегии на российском фондовом рынке основе фундаментального анализа.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инвестиционных стратегий на рынках акций с учетом роли инфляционного фактора (с указанием страны, сектора, группы эмитентов).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Прогнозирование динамики рынка акций (облигаций/биржевых товаров (по выбору)) в условиях текущей фазы бизнес-цикла (с конкретизацией объекта в названии).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Прогнозирование динамики финансовых рынков на основе анализа влияния поведенческих паттернов.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методики анализа и прогноза индекса государственных облигаций (RGBI).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методики анализа и оценки параметров российского рынка облигаций в современных условиях.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Особенности формирования цен на рынке замещающих облигаций.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методов исследования динамики цен акций с помощью дискретных однородных цепей Маркова с конечным числом состояния.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Прогнозирование волатильности развитых и развивающихся финансовых рынков и их сегментов.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Разработка модели прогнозирования кризиса на рынке акций / долговом рынке, рынке недвижимости (по выбору).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методов исследования динамики фондовых индексов и ценообразования рыночных активов с использованием фрактальных моделей.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моделей оценки и управления рыночным риском при инвестировании в инструменты финансового рынка (международная практика, в российских условиях – по выбору).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Повышение эффективности управления портфелем инвестиционных (хеджевых фондов, компаний частного капитала – по выбору) в России (США, Европе, иных странах – по выбору) на основе применения методов (указать метод(ы)).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Оценка эффективности управления паевыми фондами: зарубежный опыт и российские реалии.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Повышение доходности инвестиционных портфелей пенсионных накоплений на российском рынке.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Направления диверсификации рисков размещения пенсионных резервов на российском фондовом рынке.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Повышение роли коллективных инвестиций в развитии российского финансового рынка.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альтернативных моделей розничного инвестирования на российском фондовом рынке.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Моделирование капитала инвестиционных институтов – современные методы (международная практика, в российских условиях – по выбору).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Управление капиталом институциональных инвесторов / инвестиционных банков посредством количественного моделирования инвестиционного риска.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Формирование портфеля ценных бумаг на основе спектральных мер риска.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Построение инвестиционных стратегий с помощью методов искусственного интеллекта.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Формирование инвестиционной стратегии с помощью нелинейного арбитража на опционном рынке.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Внутридневной трейдинг с использованием нейронных сетей.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методов анализа состояния финансового рынка с применением копула-функций.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Проектирование торговых систем с использованием математических моделей (модели, методы – по выбору).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Развитие методов технического анализа финансовых рынков (конкретизация в названии).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Проектирование структурированных продуктов: модельная составляющая.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Оценка и прогнозирование доходности инвестиционного портфеля методами динамического программирования.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Разработка подхода к ценообразованию цифровых финансовых активов.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Анализ особенностей ценообразования цифровых валют.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Совершенствование подходов к оценке финансового развития (на основе опыта международных организаций и академических исследований).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Межстр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ановой эмпирический анализ каналов влияния финансового развития на экономический рост.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Эмпирический анализ вклада финансового развития в повышение экономической эффективности и производительности (на уровне стран, регионов, отраслей, групп компаний — по выбору).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стратегии рыночно-ориентированной финансовой структуры на основе метода анализа сравнительных преимуществ.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Разработка подхода к оценке влияния вклада финтех и бигтех компаний в финансовое развитие.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Модификация таксономии финансовых инструментов в контексте возникновения рынка ЦФА.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Финансовые пирамиды, современные способы мошенничества: анализ и меры по их сокращению.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40"/>
        <w:jc w:val="left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Руководитель магистерской</w:t>
      </w:r>
    </w:p>
    <w:p>
      <w:pPr>
        <w:pStyle w:val="Normal"/>
        <w:widowControl/>
        <w:bidi w:val="0"/>
        <w:spacing w:lineRule="auto" w:line="240" w:before="0" w:after="0"/>
        <w:ind w:left="0" w:right="0" w:firstLine="340"/>
        <w:jc w:val="left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программы «Финансовая математика</w:t>
      </w:r>
    </w:p>
    <w:p>
      <w:pPr>
        <w:pStyle w:val="Normal"/>
        <w:widowControl/>
        <w:bidi w:val="0"/>
        <w:spacing w:lineRule="auto" w:line="240" w:before="0" w:after="0"/>
        <w:ind w:left="0" w:right="0" w:firstLine="340"/>
        <w:jc w:val="lef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анализ рынков», д.э.н., доцент                                                   К.В. Криничанский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FF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6eb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f4e27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НИР_список"/>
    <w:basedOn w:val="Normal"/>
    <w:autoRedefine/>
    <w:qFormat/>
    <w:rsid w:val="00ab49e9"/>
    <w:pPr>
      <w:numPr>
        <w:ilvl w:val="0"/>
        <w:numId w:val="1"/>
      </w:numPr>
      <w:shd w:val="clear" w:color="auto" w:fill="FFFFFB"/>
      <w:tabs>
        <w:tab w:val="clear" w:pos="708"/>
        <w:tab w:val="left" w:pos="851" w:leader="none"/>
        <w:tab w:val="left" w:pos="1021" w:leader="none"/>
        <w:tab w:val="left" w:pos="1134" w:leader="none"/>
      </w:tabs>
      <w:spacing w:lineRule="auto" w:line="360" w:before="0" w:after="0"/>
      <w:ind w:left="567" w:hanging="567"/>
      <w:jc w:val="both"/>
    </w:pPr>
    <w:rPr>
      <w:rFonts w:ascii="Times New Roman" w:hAnsi="Times New Roman"/>
      <w:spacing w:val="-4"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4e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ba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59"/>
    <w:rsid w:val="00ab4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6">
    <w:name w:val="Table Grid"/>
    <w:basedOn w:val="a2"/>
    <w:uiPriority w:val="39"/>
    <w:rsid w:val="00037b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LibreOffice/7.0.6.2$Linux_X86_64 LibreOffice_project/00$Build-2</Application>
  <AppVersion>15.0000</AppVersion>
  <Pages>3</Pages>
  <Words>621</Words>
  <Characters>4716</Characters>
  <CharactersWithSpaces>5303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2023-09-15T12:19:00Z</dcterms:created>
  <dc:creator>Жигун Мария Евгеньевна</dc:creator>
  <dc:description/>
  <dc:language>ru-RU</dc:language>
  <cp:lastModifiedBy/>
  <cp:lastPrinted>2020-09-15T09:11:00Z</cp:lastPrinted>
  <dcterms:modified xsi:type="dcterms:W3CDTF">2023-10-02T18:30:10Z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