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Производные финансовые инструменты: анализ рынка, хеджирование и арбитраж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0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38.04.01 «Экономика»,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 w:bidi="hi-IN"/>
              </w:rPr>
              <w:t>6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zh-CN" w:bidi="hi-IN"/>
              </w:rPr>
              <w:t>1. Активное участие в дискуссиях, решение задач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>14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0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Всего за семестр (модуль)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Промежуточный контроль</w:t>
      </w:r>
    </w:p>
    <w:p>
      <w:pPr>
        <w:pStyle w:val="Normal"/>
        <w:widowControl w:val="false"/>
        <w:spacing w:lineRule="auto" w:line="240" w:before="0" w:after="16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Экзаменационное задание содержит три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тестовые задания;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практико-ориентированное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883c1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LibreOffice/7.0.6.2$Linux_X86_64 LibreOffice_project/00$Build-2</Application>
  <AppVersion>15.0000</AppVersion>
  <Pages>1</Pages>
  <Words>106</Words>
  <Characters>709</Characters>
  <CharactersWithSpaces>787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2023-09-19T20:55:00Z</dcterms:created>
  <dc:creator>Victor Kalmykov</dc:creator>
  <dc:description/>
  <dc:language>ru-RU</dc:language>
  <cp:lastModifiedBy/>
  <dcterms:modified xsi:type="dcterms:W3CDTF">2023-11-16T17:26:52Z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