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947"/>
        <w:gridCol w:w="5025"/>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1A7302" w:rsidRDefault="00886F46" w:rsidP="001A7302">
            <w:pPr>
              <w:spacing w:after="0" w:line="240" w:lineRule="auto"/>
              <w:jc w:val="center"/>
              <w:rPr>
                <w:rFonts w:ascii="Arial" w:eastAsia="Times New Roman" w:hAnsi="Arial" w:cs="Arial"/>
                <w:b/>
                <w:sz w:val="20"/>
                <w:szCs w:val="20"/>
                <w:lang w:val="en-US" w:eastAsia="ru-RU"/>
              </w:rPr>
            </w:pPr>
            <w:r>
              <w:rPr>
                <w:rFonts w:ascii="Verdana" w:eastAsia="Times New Roman" w:hAnsi="Verdana" w:cs="Times New Roman"/>
                <w:b/>
                <w:sz w:val="18"/>
                <w:szCs w:val="18"/>
                <w:lang w:val="en-GB"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1A7302">
              <w:rPr>
                <w:rFonts w:ascii="Arial" w:eastAsia="Times New Roman" w:hAnsi="Arial" w:cs="Arial"/>
                <w:sz w:val="18"/>
                <w:szCs w:val="18"/>
                <w:lang w:val="en-US" w:eastAsia="ru-RU"/>
              </w:rPr>
              <w:t>(</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303E0E" w:rsidRDefault="00886F46" w:rsidP="001A730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1A7302">
              <w:rPr>
                <w:rFonts w:ascii="Arial" w:eastAsia="Times New Roman" w:hAnsi="Arial" w:cs="Arial"/>
                <w:sz w:val="18"/>
                <w:szCs w:val="18"/>
                <w:lang w:eastAsia="ru-RU"/>
              </w:rPr>
              <w:t xml:space="preserve"> (г.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 xml:space="preserve">, </w:t>
            </w:r>
            <w:r w:rsidR="00886F46">
              <w:rPr>
                <w:rFonts w:ascii="Arial" w:eastAsia="Times New Roman" w:hAnsi="Arial" w:cs="Arial"/>
                <w:sz w:val="18"/>
                <w:szCs w:val="18"/>
                <w:lang w:val="en-US" w:eastAsia="ru-RU"/>
              </w:rPr>
              <w:t>XXX</w:t>
            </w:r>
            <w:r w:rsidRPr="001A7302">
              <w:rPr>
                <w:rFonts w:ascii="Arial" w:eastAsia="Times New Roman" w:hAnsi="Arial" w:cs="Arial"/>
                <w:sz w:val="18"/>
                <w:szCs w:val="18"/>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6DA21C01" w:rsidR="00765504" w:rsidRPr="00B13171" w:rsidRDefault="00765504" w:rsidP="004C49BA">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886F46">
              <w:rPr>
                <w:rFonts w:ascii="Arial" w:eastAsia="MS ??" w:hAnsi="Arial" w:cs="Times New Roman"/>
                <w:sz w:val="20"/>
                <w:szCs w:val="24"/>
                <w:lang w:val="en-US" w:eastAsia="ru-RU"/>
              </w:rPr>
              <w:t>XXX</w:t>
            </w:r>
            <w:r w:rsidR="001A7302" w:rsidRPr="008318D3">
              <w:rPr>
                <w:rFonts w:ascii="Arial" w:hAnsi="Arial" w:cs="Arial"/>
                <w:sz w:val="20"/>
                <w:szCs w:val="20"/>
                <w:lang w:val="en-US"/>
              </w:rPr>
              <w:t xml:space="preserve">, represented by </w:t>
            </w:r>
            <w:r w:rsidR="001A7302" w:rsidRPr="00CF2E5A">
              <w:rPr>
                <w:rFonts w:ascii="Arial" w:hAnsi="Arial" w:cs="Arial"/>
                <w:sz w:val="20"/>
                <w:szCs w:val="20"/>
                <w:highlight w:val="cyan"/>
              </w:rPr>
              <w:t>ХХХ</w:t>
            </w:r>
            <w:r w:rsidR="001A7302" w:rsidRPr="00CF2E5A">
              <w:rPr>
                <w:rFonts w:ascii="Arial" w:hAnsi="Arial" w:cs="Arial"/>
                <w:sz w:val="20"/>
                <w:szCs w:val="20"/>
                <w:highlight w:val="cyan"/>
                <w:lang w:val="en-US"/>
              </w:rPr>
              <w:t xml:space="preserve"> acting on the basis of </w:t>
            </w:r>
            <w:r w:rsidR="001A7302" w:rsidRPr="00CF2E5A">
              <w:rPr>
                <w:rFonts w:ascii="Arial" w:hAnsi="Arial" w:cs="Arial"/>
                <w:sz w:val="20"/>
                <w:szCs w:val="20"/>
                <w:highlight w:val="cyan"/>
              </w:rPr>
              <w:t>ХХХ</w:t>
            </w:r>
            <w:r w:rsidR="001A7302" w:rsidRPr="008318D3">
              <w:rPr>
                <w:rFonts w:ascii="Arial" w:hAnsi="Arial" w:cs="Arial"/>
                <w:sz w:val="20"/>
                <w:szCs w:val="20"/>
                <w:lang w:val="en-US"/>
              </w:rPr>
              <w:t xml:space="preserve"> and Federal State-Funded Educational Institution of Higher Education “Financial University under the Government of the Russian Federation” (hereinafter referred to as “Financial University”), represented by </w:t>
            </w:r>
            <w:r w:rsidR="001A7302" w:rsidRPr="00C353B7">
              <w:rPr>
                <w:rFonts w:ascii="Arial" w:hAnsi="Arial" w:cs="Arial"/>
                <w:sz w:val="20"/>
                <w:szCs w:val="20"/>
                <w:lang w:val="en-US" w:bidi="en-US"/>
              </w:rPr>
              <w:t xml:space="preserve">Vice-Rector for International </w:t>
            </w:r>
            <w:r w:rsidR="001A7302">
              <w:rPr>
                <w:rFonts w:ascii="Arial" w:hAnsi="Arial" w:cs="Arial"/>
                <w:sz w:val="20"/>
                <w:szCs w:val="20"/>
                <w:lang w:val="en-US" w:bidi="en-US"/>
              </w:rPr>
              <w:t>Cooperation</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Alexander</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S</w:t>
            </w:r>
            <w:r w:rsidR="001A7302" w:rsidRPr="00C353B7">
              <w:rPr>
                <w:rFonts w:ascii="Arial" w:hAnsi="Arial" w:cs="Arial"/>
                <w:sz w:val="20"/>
                <w:szCs w:val="20"/>
                <w:lang w:val="en-US" w:bidi="en-US"/>
              </w:rPr>
              <w:t xml:space="preserve">. </w:t>
            </w:r>
            <w:r w:rsidR="001A7302">
              <w:rPr>
                <w:rFonts w:ascii="Arial" w:hAnsi="Arial" w:cs="Arial"/>
                <w:sz w:val="20"/>
                <w:szCs w:val="20"/>
                <w:lang w:val="en-US" w:bidi="en-US"/>
              </w:rPr>
              <w:t>Linnikov</w:t>
            </w:r>
            <w:r w:rsidR="001A7302" w:rsidRPr="00C353B7">
              <w:rPr>
                <w:rFonts w:ascii="Arial" w:hAnsi="Arial" w:cs="Arial"/>
                <w:sz w:val="20"/>
                <w:szCs w:val="20"/>
                <w:lang w:val="en-US" w:bidi="en-US"/>
              </w:rPr>
              <w:t>, acting on the basis o</w:t>
            </w:r>
            <w:r w:rsidR="001A7302">
              <w:rPr>
                <w:rFonts w:ascii="Arial" w:hAnsi="Arial" w:cs="Arial"/>
                <w:sz w:val="20"/>
                <w:szCs w:val="20"/>
                <w:lang w:val="en-US" w:bidi="en-US"/>
              </w:rPr>
              <w:t xml:space="preserve">f the Power of </w:t>
            </w:r>
            <w:r w:rsidR="00303E0E">
              <w:rPr>
                <w:rFonts w:ascii="Arial" w:hAnsi="Arial" w:cs="Arial"/>
                <w:sz w:val="20"/>
                <w:szCs w:val="20"/>
                <w:lang w:val="en-US" w:bidi="en-US"/>
              </w:rPr>
              <w:t xml:space="preserve">attorney dated </w:t>
            </w:r>
            <w:r w:rsidR="00566FF4" w:rsidRPr="00566FF4">
              <w:rPr>
                <w:rFonts w:ascii="Arial" w:hAnsi="Arial" w:cs="Arial"/>
                <w:sz w:val="20"/>
                <w:szCs w:val="20"/>
                <w:lang w:val="en-US" w:bidi="en-US"/>
              </w:rPr>
              <w:t>01</w:t>
            </w:r>
            <w:r w:rsidR="00303E0E">
              <w:rPr>
                <w:rFonts w:ascii="Arial" w:hAnsi="Arial" w:cs="Arial"/>
                <w:sz w:val="20"/>
                <w:szCs w:val="20"/>
                <w:lang w:val="en-US" w:bidi="en-US"/>
              </w:rPr>
              <w:t>/0</w:t>
            </w:r>
            <w:r w:rsidR="00566FF4" w:rsidRPr="00566FF4">
              <w:rPr>
                <w:rFonts w:ascii="Arial" w:hAnsi="Arial" w:cs="Arial"/>
                <w:sz w:val="20"/>
                <w:szCs w:val="20"/>
                <w:lang w:val="en-US" w:bidi="en-US"/>
              </w:rPr>
              <w:t>1</w:t>
            </w:r>
            <w:r w:rsidR="00566FF4">
              <w:rPr>
                <w:rFonts w:ascii="Arial" w:hAnsi="Arial" w:cs="Arial"/>
                <w:sz w:val="20"/>
                <w:szCs w:val="20"/>
                <w:lang w:val="en-US" w:bidi="en-US"/>
              </w:rPr>
              <w:t>/2020</w:t>
            </w:r>
            <w:r w:rsidR="004C49BA">
              <w:rPr>
                <w:rFonts w:ascii="Arial" w:hAnsi="Arial" w:cs="Arial"/>
                <w:sz w:val="20"/>
                <w:szCs w:val="20"/>
                <w:lang w:val="en-US" w:bidi="en-US"/>
              </w:rPr>
              <w:t xml:space="preserve"> № 5</w:t>
            </w:r>
            <w:r w:rsidR="00566FF4">
              <w:rPr>
                <w:rFonts w:ascii="Arial" w:hAnsi="Arial" w:cs="Arial"/>
                <w:sz w:val="20"/>
                <w:szCs w:val="20"/>
                <w:lang w:val="en-US" w:bidi="en-US"/>
              </w:rPr>
              <w:t>2</w:t>
            </w:r>
            <w:bookmarkStart w:id="0" w:name="_GoBack"/>
            <w:bookmarkEnd w:id="0"/>
            <w:r w:rsidR="001A7302" w:rsidRPr="00C353B7">
              <w:rPr>
                <w:rFonts w:ascii="Arial" w:hAnsi="Arial" w:cs="Arial"/>
                <w:sz w:val="20"/>
                <w:szCs w:val="20"/>
                <w:lang w:val="en-US" w:bidi="en-US"/>
              </w:rPr>
              <w:t>/48</w:t>
            </w:r>
            <w:r w:rsidR="001A7302" w:rsidRPr="008318D3">
              <w:rPr>
                <w:rFonts w:ascii="Arial" w:hAnsi="Arial" w:cs="Arial"/>
                <w:sz w:val="20"/>
                <w:szCs w:val="20"/>
                <w:lang w:val="en-US"/>
              </w:rPr>
              <w:t>, hereinafter known as “Parties”</w:t>
            </w:r>
            <w:r w:rsidRPr="00BF56E4">
              <w:rPr>
                <w:rFonts w:ascii="Arial" w:eastAsia="MS ??" w:hAnsi="Arial" w:cs="Times New Roman"/>
                <w:sz w:val="20"/>
                <w:szCs w:val="24"/>
                <w:lang w:val="en-US" w:eastAsia="ru-RU"/>
              </w:rPr>
              <w:t xml:space="preserve">, have entered into this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324D9AD2"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886F46">
              <w:rPr>
                <w:rFonts w:ascii="Arial" w:hAnsi="Arial" w:cs="Arial"/>
                <w:sz w:val="20"/>
                <w:szCs w:val="20"/>
                <w:lang w:val="en-US"/>
              </w:rPr>
              <w:t>XXX</w:t>
            </w:r>
            <w:r w:rsidR="001A7302">
              <w:rPr>
                <w:rFonts w:ascii="Arial" w:hAnsi="Arial" w:cs="Arial"/>
                <w:sz w:val="20"/>
                <w:szCs w:val="20"/>
              </w:rPr>
              <w:t xml:space="preserve"> в лице</w:t>
            </w:r>
            <w:r w:rsidR="001A7302" w:rsidRPr="007F35AF">
              <w:rPr>
                <w:rFonts w:ascii="Arial" w:hAnsi="Arial" w:cs="Arial"/>
                <w:sz w:val="20"/>
                <w:szCs w:val="20"/>
              </w:rPr>
              <w:t xml:space="preserve"> </w:t>
            </w:r>
            <w:r w:rsidR="001A7302" w:rsidRPr="00CF2E5A">
              <w:rPr>
                <w:rFonts w:ascii="Arial" w:hAnsi="Arial" w:cs="Arial"/>
                <w:sz w:val="20"/>
                <w:szCs w:val="20"/>
                <w:highlight w:val="cyan"/>
              </w:rPr>
              <w:t>ХХХ 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1A7302" w:rsidRPr="00C353B7">
              <w:rPr>
                <w:rFonts w:ascii="Arial" w:hAnsi="Arial" w:cs="Arial"/>
                <w:sz w:val="20"/>
                <w:szCs w:val="20"/>
              </w:rPr>
              <w:t>проректора по международно</w:t>
            </w:r>
            <w:r w:rsidR="001A7302">
              <w:rPr>
                <w:rFonts w:ascii="Arial" w:hAnsi="Arial" w:cs="Arial"/>
                <w:sz w:val="20"/>
                <w:szCs w:val="20"/>
              </w:rPr>
              <w:t>му</w:t>
            </w:r>
            <w:r w:rsidR="001A7302" w:rsidRPr="00C353B7">
              <w:rPr>
                <w:rFonts w:ascii="Arial" w:hAnsi="Arial" w:cs="Arial"/>
                <w:sz w:val="20"/>
                <w:szCs w:val="20"/>
              </w:rPr>
              <w:t xml:space="preserve"> </w:t>
            </w:r>
            <w:r w:rsidR="001A7302">
              <w:rPr>
                <w:rFonts w:ascii="Arial" w:hAnsi="Arial" w:cs="Arial"/>
                <w:sz w:val="20"/>
                <w:szCs w:val="20"/>
              </w:rPr>
              <w:t>сотрудничеству</w:t>
            </w:r>
            <w:r w:rsidR="001A7302" w:rsidRPr="00C353B7">
              <w:rPr>
                <w:rFonts w:ascii="Arial" w:hAnsi="Arial" w:cs="Arial"/>
                <w:sz w:val="20"/>
                <w:szCs w:val="20"/>
              </w:rPr>
              <w:t xml:space="preserve"> </w:t>
            </w:r>
            <w:r w:rsidR="001A7302">
              <w:rPr>
                <w:rFonts w:ascii="Arial" w:hAnsi="Arial" w:cs="Arial"/>
                <w:sz w:val="20"/>
                <w:szCs w:val="20"/>
              </w:rPr>
              <w:t>Александра</w:t>
            </w:r>
            <w:r w:rsidR="001A7302" w:rsidRPr="00C353B7">
              <w:rPr>
                <w:rFonts w:ascii="Arial" w:hAnsi="Arial" w:cs="Arial"/>
                <w:sz w:val="20"/>
                <w:szCs w:val="20"/>
              </w:rPr>
              <w:t xml:space="preserve"> </w:t>
            </w:r>
            <w:r w:rsidR="001A7302">
              <w:rPr>
                <w:rFonts w:ascii="Arial" w:hAnsi="Arial" w:cs="Arial"/>
                <w:sz w:val="20"/>
                <w:szCs w:val="20"/>
              </w:rPr>
              <w:t>Сергеевича</w:t>
            </w:r>
            <w:r w:rsidR="001A7302" w:rsidRPr="00C353B7">
              <w:rPr>
                <w:rFonts w:ascii="Arial" w:hAnsi="Arial" w:cs="Arial"/>
                <w:sz w:val="20"/>
                <w:szCs w:val="20"/>
              </w:rPr>
              <w:t xml:space="preserve"> </w:t>
            </w:r>
            <w:r w:rsidR="001A7302">
              <w:rPr>
                <w:rFonts w:ascii="Arial" w:hAnsi="Arial" w:cs="Arial"/>
                <w:sz w:val="20"/>
                <w:szCs w:val="20"/>
              </w:rPr>
              <w:t xml:space="preserve">Линникова, действующего на основании Доверенности от </w:t>
            </w:r>
            <w:r w:rsidR="00566FF4">
              <w:rPr>
                <w:rFonts w:ascii="Arial" w:hAnsi="Arial" w:cs="Arial"/>
                <w:sz w:val="20"/>
                <w:szCs w:val="20"/>
              </w:rPr>
              <w:t>01</w:t>
            </w:r>
            <w:r w:rsidR="00566FF4" w:rsidRPr="00803BE0">
              <w:rPr>
                <w:rFonts w:ascii="Arial" w:hAnsi="Arial" w:cs="Arial"/>
                <w:sz w:val="20"/>
                <w:szCs w:val="20"/>
              </w:rPr>
              <w:t>.0</w:t>
            </w:r>
            <w:r w:rsidR="00566FF4">
              <w:rPr>
                <w:rFonts w:ascii="Arial" w:hAnsi="Arial" w:cs="Arial"/>
                <w:sz w:val="20"/>
                <w:szCs w:val="20"/>
              </w:rPr>
              <w:t>1.2020</w:t>
            </w:r>
            <w:r w:rsidR="00566FF4" w:rsidRPr="00803BE0">
              <w:rPr>
                <w:rFonts w:ascii="Arial" w:hAnsi="Arial" w:cs="Arial"/>
                <w:sz w:val="20"/>
                <w:szCs w:val="20"/>
              </w:rPr>
              <w:t xml:space="preserve"> г. № </w:t>
            </w:r>
            <w:r w:rsidR="00566FF4">
              <w:rPr>
                <w:rFonts w:ascii="Arial" w:hAnsi="Arial" w:cs="Arial"/>
                <w:sz w:val="20"/>
                <w:szCs w:val="20"/>
              </w:rPr>
              <w:t>52</w:t>
            </w:r>
            <w:r w:rsidR="00566FF4" w:rsidRPr="00803BE0">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1.1. For the purposes of this Agreement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“home” institution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“host” institution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semester or academic year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59EE62E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379F960B"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«направляющая 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студент намерен окончить и диплом о высшем </w:t>
            </w:r>
            <w:r w:rsidR="00842C99">
              <w:rPr>
                <w:rFonts w:ascii="Arial" w:eastAsia="MS ??" w:hAnsi="Arial" w:cs="Times New Roman"/>
                <w:sz w:val="20"/>
                <w:szCs w:val="24"/>
                <w:lang w:eastAsia="ru-RU"/>
              </w:rPr>
              <w:t>о</w:t>
            </w:r>
            <w:r w:rsidR="00765504" w:rsidRPr="00BF56E4">
              <w:rPr>
                <w:rFonts w:ascii="Arial" w:eastAsia="MS ??" w:hAnsi="Arial" w:cs="Times New Roman"/>
                <w:sz w:val="20"/>
                <w:szCs w:val="24"/>
                <w:lang w:eastAsia="ru-RU"/>
              </w:rPr>
              <w:t>бразовании 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6F7A7A7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«принимающая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225E4BE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4939"/>
        <w:gridCol w:w="5033"/>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2.1. The purpose of this Agreement is to establish specific educational relations between both institutions in order to promote academic connections and to enrich the 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679526C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Pr="00BF56E4">
              <w:rPr>
                <w:rFonts w:ascii="Arial" w:eastAsia="MS ??" w:hAnsi="Arial" w:cs="Times New Roman"/>
                <w:sz w:val="20"/>
                <w:szCs w:val="24"/>
                <w:lang w:eastAsia="ru-RU"/>
              </w:rPr>
              <w:t>иями отношений сотрудничества в области образования, которые способствовали бы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2.2. The purpose of exchange between faculty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Programme is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7526046E"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maximum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6B21FA4B"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по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Максимальная продолжительность обучения – 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213E92BA"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48DC27A"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Programme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706E061D"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зачетной книжки.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Programme</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Programme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CC9952C" w14:textId="77777777" w:rsidTr="00D2765E">
        <w:trPr>
          <w:cantSplit/>
        </w:trPr>
        <w:tc>
          <w:tcPr>
            <w:tcW w:w="5054" w:type="dxa"/>
          </w:tcPr>
          <w:p w14:paraId="4095FA79" w14:textId="162F909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Programme</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483884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3AE23A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будет оказывать каждому студенту всестороннюю помощь в поиске подходящего места проживания. Оплата расходов по проживанию является обязанностью самого студента.</w:t>
            </w:r>
          </w:p>
          <w:p w14:paraId="0D95F44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1A89F59D"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Programme</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3.4.3. Транспортные расходы 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78532FD"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Programme</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 Медицинское страхование для студентов-участников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4C81509E"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несет 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776C114"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Programme</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1562FB6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Студенты будут выполнять требования и соблюдать правила внутреннего распорядка, принятые и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1CDD4A08" w:rsidR="00765504" w:rsidRPr="00BF56E4" w:rsidRDefault="00765504" w:rsidP="00765504">
            <w:pPr>
              <w:spacing w:after="0" w:line="240" w:lineRule="auto"/>
              <w:jc w:val="both"/>
              <w:rPr>
                <w:rFonts w:ascii="Arial" w:eastAsia="MS ??" w:hAnsi="Arial" w:cs="Times New Roman"/>
                <w:strike/>
                <w:sz w:val="20"/>
                <w:szCs w:val="24"/>
                <w:lang w:val="en-GB" w:eastAsia="ru-RU"/>
              </w:rPr>
            </w:pPr>
            <w:r w:rsidRPr="00BF56E4">
              <w:rPr>
                <w:rFonts w:ascii="Arial" w:eastAsia="MS ??" w:hAnsi="Arial" w:cs="Times New Roman"/>
                <w:sz w:val="20"/>
                <w:szCs w:val="24"/>
                <w:lang w:val="en-GB" w:eastAsia="ru-RU"/>
              </w:rPr>
              <w:t>4.1.1. Students may be undergraduate</w:t>
            </w:r>
            <w:r w:rsidRPr="00D2765E">
              <w:rPr>
                <w:rFonts w:ascii="Arial" w:eastAsia="MS ??" w:hAnsi="Arial" w:cs="Times New Roman"/>
                <w:sz w:val="20"/>
                <w:szCs w:val="24"/>
                <w:lang w:val="en-GB" w:eastAsia="ru-RU"/>
              </w:rPr>
              <w:t>s or graduate</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бакалавриата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50385E3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4.1.2. Студенты будут зачислены на обучение по основным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programmes.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При отборе студентов для обучения обе Стороны обязуются не допускать  дискриминации по признаку расовой принадлежности, пола, вероисповедания, сексуальной ориентации, возраста, отношения к военной обязанности, национальности, происхождения 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285A21C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ограниченным, и прилагать все усилия для того, чтобы помочь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68EAD97C"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Programme and</w:t>
            </w:r>
            <w:r w:rsidR="002E0C76" w:rsidRPr="00BF56E4">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Students' Records</w:t>
            </w:r>
          </w:p>
          <w:p w14:paraId="5688FABF" w14:textId="332B351C"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w:t>
            </w:r>
            <w:r w:rsidR="00713F94" w:rsidRPr="00D2765E">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 Exchange Programme, each institution will provide the other with information about the performance and academic background and record, together with letters of recommendation. It is understood that both institutions will strive to select only individuals of the highest quality for participation in the programmes.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участников 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4A66B14"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Programme</w:t>
            </w:r>
            <w:r w:rsidR="00713F94" w:rsidRPr="00D2765E">
              <w:rPr>
                <w:rFonts w:ascii="Arial" w:eastAsia="MS ??" w:hAnsi="Arial" w:cs="Times New Roman"/>
                <w:sz w:val="20"/>
                <w:szCs w:val="24"/>
                <w:lang w:val="en-GB" w:eastAsia="ru-RU"/>
              </w:rPr>
              <w:t xml:space="preserve"> </w:t>
            </w:r>
          </w:p>
          <w:p w14:paraId="407F4038" w14:textId="2A0F7FE6" w:rsidR="00765504" w:rsidRPr="00D2765E" w:rsidRDefault="002E0C76" w:rsidP="00765504">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Study Abroad Programme and Student Exchange Programme.</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30AD523A" w14:textId="191E90A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будет назначен куратор из числа работников профессорско-преподавательского состава.</w:t>
            </w:r>
          </w:p>
        </w:tc>
      </w:tr>
      <w:tr w:rsidR="00BF56E4" w:rsidRPr="00BF56E4" w14:paraId="67A9A304" w14:textId="77777777" w:rsidTr="00D2765E">
        <w:trPr>
          <w:cantSplit/>
        </w:trPr>
        <w:tc>
          <w:tcPr>
            <w:tcW w:w="5054" w:type="dxa"/>
          </w:tcPr>
          <w:p w14:paraId="7C4A0C6A" w14:textId="2A786049"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Programme</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52075E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Programme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4.4. Начисление зачетных единиц участникам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77777777"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 and based on the mutual consent of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0C05B686" w:rsidR="00765504"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опубликованная на веб-сайтах Сторон, касательно данного Соглашения будут </w:t>
            </w:r>
            <w:r w:rsidR="00501AE3"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огласованы Сторонами, основываясь на их </w:t>
            </w:r>
            <w:r w:rsidR="00501AE3" w:rsidRPr="00BF56E4">
              <w:rPr>
                <w:rFonts w:ascii="Arial" w:eastAsia="MS ??" w:hAnsi="Arial" w:cs="Times New Roman"/>
                <w:sz w:val="20"/>
                <w:szCs w:val="24"/>
                <w:lang w:eastAsia="ru-RU"/>
              </w:rPr>
              <w:t xml:space="preserve">взаимном </w:t>
            </w:r>
            <w:r w:rsidR="00765504" w:rsidRPr="00BF56E4">
              <w:rPr>
                <w:rFonts w:ascii="Arial" w:eastAsia="MS ??" w:hAnsi="Arial" w:cs="Times New Roman"/>
                <w:sz w:val="20"/>
                <w:szCs w:val="24"/>
                <w:lang w:eastAsia="ru-RU"/>
              </w:rPr>
              <w:t>согласии.</w:t>
            </w:r>
            <w:r w:rsidR="00596450"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5237FC1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 xml:space="preserve">arty agrees, as a principle, that the Agreement may be mentioned as Cooperation 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48CF984F"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брошюрах или на веб-сайтах </w:t>
            </w:r>
            <w:r w:rsidR="00606177" w:rsidRPr="00BF56E4">
              <w:rPr>
                <w:rFonts w:ascii="Arial" w:eastAsia="MS ??" w:hAnsi="Arial" w:cs="Times New Roman"/>
                <w:sz w:val="20"/>
                <w:szCs w:val="24"/>
                <w:lang w:eastAsia="ru-RU"/>
              </w:rPr>
              <w:t xml:space="preserve">Сторон </w:t>
            </w:r>
            <w:r w:rsidRPr="00BF56E4">
              <w:rPr>
                <w:rFonts w:ascii="Arial" w:eastAsia="MS ??" w:hAnsi="Arial" w:cs="Times New Roman"/>
                <w:sz w:val="20"/>
                <w:szCs w:val="24"/>
                <w:lang w:eastAsia="ru-RU"/>
              </w:rPr>
              <w:t>в течение срока действия Соглашения.</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5. FACULTY AND STAFF EXCHANGES</w:t>
            </w:r>
          </w:p>
          <w:p w14:paraId="5C9C369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FE6A92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EF316E6"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It is hoped that there will be an exchange of academic staff who will give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A9531DA"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подробно обсуждаться отдельно в каждом конкретном случае</w:t>
            </w:r>
            <w:r w:rsidR="00596450" w:rsidRPr="00BF56E4">
              <w:rPr>
                <w:rFonts w:ascii="Arial" w:eastAsia="MS ??" w:hAnsi="Arial" w:cs="Times New Roman"/>
                <w:sz w:val="20"/>
                <w:szCs w:val="24"/>
                <w:lang w:eastAsia="ru-RU"/>
              </w:rPr>
              <w:t xml:space="preserve">, и в случае необходимости будет заключено </w:t>
            </w:r>
            <w:r w:rsidR="002E53F4" w:rsidRPr="00BF56E4">
              <w:rPr>
                <w:rFonts w:ascii="Arial" w:eastAsia="MS ??" w:hAnsi="Arial" w:cs="Times New Roman"/>
                <w:sz w:val="20"/>
                <w:szCs w:val="24"/>
                <w:lang w:eastAsia="ru-RU"/>
              </w:rPr>
              <w:t>соответствующее</w:t>
            </w:r>
            <w:r w:rsidR="00596450" w:rsidRPr="00BF56E4">
              <w:rPr>
                <w:rFonts w:ascii="Arial" w:eastAsia="MS ??" w:hAnsi="Arial" w:cs="Times New Roman"/>
                <w:sz w:val="20"/>
                <w:szCs w:val="24"/>
                <w:lang w:eastAsia="ru-RU"/>
              </w:rPr>
              <w:t xml:space="preserve"> соглашение.</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7156CB01"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Programme Calendar</w:t>
            </w:r>
          </w:p>
          <w:p w14:paraId="44929DB2" w14:textId="583910AA" w:rsidR="00765504" w:rsidRPr="00BF56E4" w:rsidRDefault="00765504" w:rsidP="00842C9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 Exchange</w:t>
            </w:r>
            <w:r w:rsidR="00596450"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Programme may take place for an academic year or for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7FF3F70"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Programme Review</w:t>
            </w:r>
          </w:p>
          <w:p w14:paraId="2FD447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Both institutions will be responsible for a regular review of the programme no later than April 1 of each year. This review may make appropriate and mutually agreed modifications as required and identify new opportunities for cooperation in scholarship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Programme Approval</w:t>
            </w:r>
          </w:p>
          <w:p w14:paraId="1945D2B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677A060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обеспечения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29213558" w14:textId="5BF7F2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and Russian Federation, without giving effect to any conflicts of law provisions. Prior amicable resolution, litigation arising hereunder relating to the execution of this Agreement in</w:t>
            </w:r>
            <w:r w:rsidR="00D94512">
              <w:rPr>
                <w:rFonts w:ascii="Arial" w:eastAsia="MS ??" w:hAnsi="Arial" w:cs="Times New Roman"/>
                <w:sz w:val="20"/>
                <w:szCs w:val="24"/>
                <w:lang w:val="en-GB" w:eastAsia="ru-RU"/>
              </w:rPr>
              <w:t xml:space="preserve"> </w:t>
            </w:r>
            <w:r w:rsidR="00301A2D">
              <w:rPr>
                <w:rFonts w:ascii="Arial" w:eastAsia="MS ??" w:hAnsi="Arial" w:cs="Times New Roman"/>
                <w:sz w:val="20"/>
                <w:szCs w:val="24"/>
                <w:lang w:val="en-US" w:eastAsia="ru-RU"/>
              </w:rPr>
              <w:t>XXX</w:t>
            </w:r>
            <w:r w:rsidR="009921A4" w:rsidRPr="009921A4">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shall be submitted to the jurisdiction of the courts of </w:t>
            </w:r>
            <w:r w:rsidR="00301A2D">
              <w:rPr>
                <w:rFonts w:ascii="Arial" w:eastAsia="MS ??" w:hAnsi="Arial" w:cs="Times New Roman"/>
                <w:sz w:val="20"/>
                <w:szCs w:val="24"/>
                <w:lang w:val="en-GB" w:eastAsia="ru-RU"/>
              </w:rPr>
              <w:t>XXX</w:t>
            </w:r>
            <w:r w:rsidRPr="00BF56E4">
              <w:rPr>
                <w:rFonts w:ascii="Arial" w:eastAsia="MS ??" w:hAnsi="Arial" w:cs="Times New Roman"/>
                <w:sz w:val="20"/>
                <w:szCs w:val="24"/>
                <w:lang w:val="en-GB" w:eastAsia="ru-RU"/>
              </w:rPr>
              <w:t>, litigation arising hereunder relating to the execution of this Agreement in Russian Federation shall be transmitted to the jurisdiction of arbitrage court in Moscow.</w:t>
            </w:r>
          </w:p>
          <w:p w14:paraId="7A0832AD"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00EAA1F5" w14:textId="1C76C52E" w:rsidR="00D42297" w:rsidRPr="00BF56E4" w:rsidRDefault="00765504" w:rsidP="00842C99">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В случае недостижения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2C576742"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in two copies in English and Russian, 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20AF4C1C" w14:textId="23D6EC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3905B5" w:rsidRPr="00BF56E4">
              <w:rPr>
                <w:rFonts w:ascii="Arial" w:eastAsia="MS ??" w:hAnsi="Arial" w:cs="Times New Roman"/>
                <w:sz w:val="20"/>
                <w:szCs w:val="24"/>
                <w:lang w:eastAsia="ru-RU"/>
              </w:rPr>
              <w:t>В</w:t>
            </w:r>
            <w:r w:rsidRPr="00BF56E4">
              <w:rPr>
                <w:rFonts w:ascii="Arial" w:eastAsia="MS ??" w:hAnsi="Arial" w:cs="Times New Roman"/>
                <w:sz w:val="20"/>
                <w:szCs w:val="24"/>
                <w:lang w:eastAsia="ru-RU"/>
              </w:rPr>
              <w:t xml:space="preserve"> случае возникновения </w:t>
            </w:r>
            <w:r w:rsidR="003905B5" w:rsidRPr="00BF56E4">
              <w:rPr>
                <w:rFonts w:ascii="Arial" w:eastAsia="MS ??" w:hAnsi="Arial" w:cs="Times New Roman"/>
                <w:sz w:val="20"/>
                <w:szCs w:val="24"/>
                <w:lang w:eastAsia="ru-RU"/>
              </w:rPr>
              <w:t xml:space="preserve">разногласий </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преимущество имеет </w:t>
            </w:r>
            <w:r w:rsidRPr="00BF56E4">
              <w:rPr>
                <w:rFonts w:ascii="Arial" w:eastAsia="MS ??" w:hAnsi="Arial" w:cs="Times New Roman"/>
                <w:sz w:val="20"/>
                <w:szCs w:val="24"/>
                <w:lang w:eastAsia="ru-RU"/>
              </w:rPr>
              <w:t>англ</w:t>
            </w:r>
            <w:r w:rsidR="003905B5" w:rsidRPr="00BF56E4">
              <w:rPr>
                <w:rFonts w:ascii="Arial" w:eastAsia="MS ??" w:hAnsi="Arial" w:cs="Times New Roman"/>
                <w:sz w:val="20"/>
                <w:szCs w:val="24"/>
                <w:lang w:eastAsia="ru-RU"/>
              </w:rPr>
              <w:t>оязычная</w:t>
            </w:r>
            <w:r w:rsidRPr="00BF56E4">
              <w:rPr>
                <w:rFonts w:ascii="Arial" w:eastAsia="MS ??" w:hAnsi="Arial" w:cs="Times New Roman"/>
                <w:sz w:val="20"/>
                <w:szCs w:val="24"/>
                <w:lang w:eastAsia="ru-RU"/>
              </w:rPr>
              <w:t xml:space="preserve"> версия.</w:t>
            </w:r>
          </w:p>
          <w:p w14:paraId="3BFCC3D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64C2A5D0" w14:textId="77777777" w:rsidR="00765504" w:rsidRPr="00D2765E" w:rsidRDefault="00765504" w:rsidP="00765504">
            <w:pPr>
              <w:spacing w:after="0" w:line="240" w:lineRule="auto"/>
              <w:jc w:val="both"/>
              <w:rPr>
                <w:rFonts w:ascii="Arial" w:eastAsia="MS ??" w:hAnsi="Arial" w:cs="Times New Roman"/>
                <w:b/>
                <w:sz w:val="20"/>
                <w:szCs w:val="24"/>
                <w:lang w:eastAsia="ru-RU"/>
              </w:rPr>
            </w:pPr>
          </w:p>
          <w:p w14:paraId="1A600397" w14:textId="77777777"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77777777" w:rsidR="001A7302" w:rsidRPr="001A7302" w:rsidRDefault="001A7302" w:rsidP="001A7302">
            <w:pPr>
              <w:pBdr>
                <w:bottom w:val="single" w:sz="12" w:space="1" w:color="auto"/>
              </w:pBdr>
              <w:spacing w:after="0" w:line="240" w:lineRule="auto"/>
              <w:rPr>
                <w:rFonts w:ascii="Arial" w:eastAsia="Times New Roman" w:hAnsi="Arial" w:cs="Arial"/>
                <w:sz w:val="20"/>
                <w:szCs w:val="20"/>
                <w:lang w:val="en-GB" w:eastAsia="ru-RU"/>
              </w:rPr>
            </w:pPr>
          </w:p>
          <w:p w14:paraId="789019B1" w14:textId="77777777" w:rsidR="00AA7FBF" w:rsidRDefault="00AA7FBF" w:rsidP="00765504">
            <w:pPr>
              <w:pBdr>
                <w:bottom w:val="single" w:sz="12" w:space="1" w:color="auto"/>
              </w:pBdr>
              <w:spacing w:after="0" w:line="240" w:lineRule="auto"/>
              <w:jc w:val="both"/>
              <w:rPr>
                <w:rFonts w:ascii="Arial" w:eastAsia="Arial" w:hAnsi="Arial" w:cs="Arial"/>
                <w:b/>
                <w:bCs/>
                <w:sz w:val="20"/>
                <w:szCs w:val="20"/>
                <w:lang w:val="en-US" w:bidi="en-US"/>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0046436D" w:rsidR="00765504" w:rsidRPr="00D21240" w:rsidRDefault="00765504" w:rsidP="00765504">
            <w:pPr>
              <w:spacing w:after="0" w:line="240" w:lineRule="auto"/>
              <w:jc w:val="both"/>
              <w:rPr>
                <w:rFonts w:ascii="Arial" w:eastAsia="MS ??" w:hAnsi="Arial" w:cs="Times New Roman"/>
                <w:sz w:val="20"/>
                <w:szCs w:val="24"/>
                <w:lang w:eastAsia="ru-RU"/>
              </w:rPr>
            </w:pPr>
            <w:r w:rsidRPr="00D2765E">
              <w:rPr>
                <w:rFonts w:ascii="Arial" w:eastAsia="MS ??" w:hAnsi="Arial" w:cs="Times New Roman"/>
                <w:sz w:val="20"/>
                <w:szCs w:val="24"/>
                <w:lang w:val="en-GB" w:eastAsia="ru-RU"/>
              </w:rPr>
              <w:t>Date: __________________ 201</w:t>
            </w:r>
            <w:r w:rsidR="002535E4">
              <w:rPr>
                <w:rFonts w:ascii="Arial" w:eastAsia="MS ??" w:hAnsi="Arial" w:cs="Times New Roman"/>
                <w:sz w:val="20"/>
                <w:szCs w:val="24"/>
                <w:lang w:eastAsia="ru-RU"/>
              </w:rPr>
              <w:t>9</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D94512" w:rsidRDefault="00D94512" w:rsidP="00765504">
            <w:pPr>
              <w:pBdr>
                <w:bottom w:val="single" w:sz="12" w:space="1" w:color="auto"/>
              </w:pBdr>
              <w:spacing w:after="0" w:line="240" w:lineRule="auto"/>
              <w:jc w:val="both"/>
              <w:rPr>
                <w:rFonts w:ascii="Arial" w:eastAsia="Arial" w:hAnsi="Arial" w:cs="Arial"/>
                <w:b/>
                <w:sz w:val="20"/>
                <w:szCs w:val="20"/>
                <w:lang w:bidi="ru-RU"/>
              </w:rPr>
            </w:pPr>
          </w:p>
          <w:p w14:paraId="1D6E767A" w14:textId="14521DF6"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D54265B" w14:textId="77777777" w:rsidR="001A7302" w:rsidRPr="00A47ACA"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1D0007BC" w:rsidR="00765504" w:rsidRPr="00BF56E4" w:rsidRDefault="00D9451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880873">
              <w:rPr>
                <w:rFonts w:ascii="Arial" w:eastAsia="MS ??" w:hAnsi="Arial" w:cs="Times New Roman"/>
                <w:sz w:val="20"/>
                <w:szCs w:val="24"/>
                <w:lang w:eastAsia="ru-RU"/>
              </w:rPr>
              <w:t>: __________________ 201</w:t>
            </w:r>
            <w:r w:rsidR="002535E4">
              <w:rPr>
                <w:rFonts w:ascii="Arial" w:eastAsia="MS ??" w:hAnsi="Arial" w:cs="Times New Roman"/>
                <w:sz w:val="20"/>
                <w:szCs w:val="24"/>
                <w:lang w:eastAsia="ru-RU"/>
              </w:rPr>
              <w:t>9</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212F8EAD"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77777777" w:rsidR="00821341" w:rsidRPr="00D2765E"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77A052A9" w14:textId="77777777" w:rsidR="001A7302" w:rsidRPr="001A7302" w:rsidRDefault="001A7302" w:rsidP="001A7302">
            <w:pPr>
              <w:spacing w:after="0" w:line="240" w:lineRule="auto"/>
              <w:jc w:val="both"/>
              <w:rPr>
                <w:rFonts w:ascii="Arial" w:eastAsia="MS ??" w:hAnsi="Arial" w:cs="Times New Roman"/>
                <w:sz w:val="20"/>
                <w:szCs w:val="24"/>
                <w:lang w:val="en-US" w:eastAsia="ru-RU" w:bidi="en-US"/>
              </w:rPr>
            </w:pPr>
            <w:r w:rsidRPr="001A7302">
              <w:rPr>
                <w:rFonts w:ascii="Arial" w:eastAsia="MS ??" w:hAnsi="Arial" w:cs="Times New Roman"/>
                <w:sz w:val="20"/>
                <w:szCs w:val="24"/>
                <w:lang w:val="en-US" w:eastAsia="ru-RU" w:bidi="en-US"/>
              </w:rPr>
              <w:t>Alexander S. Linnikov, PhD</w:t>
            </w:r>
          </w:p>
          <w:p w14:paraId="5C9015CE" w14:textId="77777777" w:rsidR="001A7302" w:rsidRPr="001A7302" w:rsidRDefault="001A7302" w:rsidP="001A7302">
            <w:pPr>
              <w:spacing w:after="0" w:line="240" w:lineRule="auto"/>
              <w:jc w:val="both"/>
              <w:rPr>
                <w:rFonts w:ascii="Arial" w:eastAsia="MS ??" w:hAnsi="Arial" w:cs="Times New Roman"/>
                <w:sz w:val="20"/>
                <w:szCs w:val="24"/>
                <w:lang w:val="en-US" w:eastAsia="ru-RU"/>
              </w:rPr>
            </w:pPr>
            <w:r w:rsidRPr="001A7302">
              <w:rPr>
                <w:rFonts w:ascii="Arial" w:eastAsia="MS ??" w:hAnsi="Arial" w:cs="Times New Roman"/>
                <w:sz w:val="20"/>
                <w:szCs w:val="24"/>
                <w:lang w:val="en-US" w:eastAsia="ru-RU" w:bidi="en-US"/>
              </w:rPr>
              <w:t>Vice-Rector for International Cooperation</w:t>
            </w:r>
          </w:p>
          <w:p w14:paraId="743FD8C0" w14:textId="47E947E7" w:rsidR="00765504" w:rsidRDefault="00765504" w:rsidP="00765504">
            <w:pPr>
              <w:spacing w:after="0" w:line="240" w:lineRule="auto"/>
              <w:jc w:val="both"/>
              <w:rPr>
                <w:rFonts w:ascii="Arial" w:eastAsia="MS ??" w:hAnsi="Arial" w:cs="Times New Roman"/>
                <w:sz w:val="20"/>
                <w:szCs w:val="24"/>
                <w:lang w:val="en-US" w:eastAsia="ru-RU"/>
              </w:rPr>
            </w:pPr>
          </w:p>
          <w:p w14:paraId="5B783E7C" w14:textId="77777777" w:rsidR="001A7302" w:rsidRPr="00C21FE3" w:rsidRDefault="001A7302" w:rsidP="00765504">
            <w:pPr>
              <w:spacing w:after="0" w:line="240" w:lineRule="auto"/>
              <w:jc w:val="both"/>
              <w:rPr>
                <w:rFonts w:ascii="Arial" w:eastAsia="MS ??" w:hAnsi="Arial" w:cs="Times New Roman"/>
                <w:sz w:val="20"/>
                <w:szCs w:val="24"/>
                <w:lang w:val="en-US" w:eastAsia="ru-RU"/>
              </w:rPr>
            </w:pPr>
          </w:p>
          <w:p w14:paraId="506B26E0" w14:textId="5928D857" w:rsidR="00765504" w:rsidRPr="004C49BA" w:rsidRDefault="00765504" w:rsidP="002535E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Pr="00C21FE3">
              <w:rPr>
                <w:rFonts w:ascii="Arial" w:eastAsia="MS ??" w:hAnsi="Arial" w:cs="Times New Roman"/>
                <w:sz w:val="20"/>
                <w:szCs w:val="24"/>
                <w:lang w:val="en-US" w:eastAsia="ru-RU"/>
              </w:rPr>
              <w:t>: __________________ 201</w:t>
            </w:r>
            <w:r w:rsidR="002535E4" w:rsidRPr="004C49BA">
              <w:rPr>
                <w:rFonts w:ascii="Arial" w:eastAsia="MS ??" w:hAnsi="Arial" w:cs="Times New Roman"/>
                <w:sz w:val="20"/>
                <w:szCs w:val="24"/>
                <w:lang w:val="en-US" w:eastAsia="ru-RU"/>
              </w:rPr>
              <w:t>9</w:t>
            </w:r>
          </w:p>
        </w:tc>
        <w:tc>
          <w:tcPr>
            <w:tcW w:w="5134" w:type="dxa"/>
          </w:tcPr>
          <w:p w14:paraId="273DFCCE" w14:textId="77777777" w:rsidR="00765504" w:rsidRPr="00886F46" w:rsidRDefault="00765504" w:rsidP="00765504">
            <w:pPr>
              <w:spacing w:after="0" w:line="240" w:lineRule="auto"/>
              <w:jc w:val="both"/>
              <w:rPr>
                <w:rFonts w:ascii="Arial" w:eastAsia="MS ??" w:hAnsi="Arial" w:cs="Times New Roman"/>
                <w:sz w:val="20"/>
                <w:szCs w:val="24"/>
                <w:lang w:val="en-US"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485F9276"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77777777" w:rsidR="00821341" w:rsidRPr="00BF56E4"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3297E4C2"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Линников Александр Сергеевич</w:t>
            </w:r>
          </w:p>
          <w:p w14:paraId="082FC770" w14:textId="77777777" w:rsidR="001A7302" w:rsidRPr="001A7302" w:rsidRDefault="001A7302" w:rsidP="001A730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lang w:eastAsia="ru-RU" w:bidi="ru-RU"/>
              </w:rPr>
              <w:t>Проректор по международному сотрудничеству</w:t>
            </w:r>
          </w:p>
          <w:p w14:paraId="640CD3D3" w14:textId="498A280F" w:rsidR="00765504" w:rsidRDefault="00765504" w:rsidP="00765504">
            <w:pPr>
              <w:spacing w:after="0" w:line="240" w:lineRule="auto"/>
              <w:jc w:val="both"/>
              <w:rPr>
                <w:rFonts w:ascii="Arial" w:eastAsia="MS ??" w:hAnsi="Arial" w:cs="Times New Roman"/>
                <w:sz w:val="20"/>
                <w:szCs w:val="24"/>
                <w:lang w:eastAsia="ru-RU"/>
              </w:rPr>
            </w:pPr>
          </w:p>
          <w:p w14:paraId="542F9ED1" w14:textId="77777777"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0DACDB56" w:rsidR="00765504" w:rsidRPr="00BF56E4" w:rsidRDefault="00D66FBF"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201</w:t>
            </w:r>
            <w:r w:rsidR="002535E4">
              <w:rPr>
                <w:rFonts w:ascii="Arial" w:eastAsia="MS ??" w:hAnsi="Arial" w:cs="Times New Roman"/>
                <w:sz w:val="20"/>
                <w:szCs w:val="24"/>
                <w:lang w:eastAsia="ru-RU"/>
              </w:rPr>
              <w:t>9</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032E" w14:textId="77777777" w:rsidR="008E5853" w:rsidRDefault="008E5853">
      <w:pPr>
        <w:spacing w:after="0" w:line="240" w:lineRule="auto"/>
      </w:pPr>
      <w:r>
        <w:separator/>
      </w:r>
    </w:p>
  </w:endnote>
  <w:endnote w:type="continuationSeparator" w:id="0">
    <w:p w14:paraId="4C1C4AC5" w14:textId="77777777" w:rsidR="008E5853" w:rsidRDefault="008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1EF7A9E0"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566FF4">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527A" w14:textId="77777777" w:rsidR="008E5853" w:rsidRDefault="008E5853">
      <w:pPr>
        <w:spacing w:after="0" w:line="240" w:lineRule="auto"/>
      </w:pPr>
      <w:r>
        <w:separator/>
      </w:r>
    </w:p>
  </w:footnote>
  <w:footnote w:type="continuationSeparator" w:id="0">
    <w:p w14:paraId="1BAAAF69" w14:textId="77777777" w:rsidR="008E5853" w:rsidRDefault="008E5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4"/>
    <w:rsid w:val="0004150F"/>
    <w:rsid w:val="0017400C"/>
    <w:rsid w:val="00186535"/>
    <w:rsid w:val="001A7302"/>
    <w:rsid w:val="002535E4"/>
    <w:rsid w:val="002E0C76"/>
    <w:rsid w:val="002E53F4"/>
    <w:rsid w:val="00301A2D"/>
    <w:rsid w:val="00303E0E"/>
    <w:rsid w:val="00324BB6"/>
    <w:rsid w:val="003905B5"/>
    <w:rsid w:val="00396750"/>
    <w:rsid w:val="003B294B"/>
    <w:rsid w:val="003B7FB2"/>
    <w:rsid w:val="00465927"/>
    <w:rsid w:val="004C49BA"/>
    <w:rsid w:val="00501AE3"/>
    <w:rsid w:val="00521F68"/>
    <w:rsid w:val="00551A13"/>
    <w:rsid w:val="00566FF4"/>
    <w:rsid w:val="005867BC"/>
    <w:rsid w:val="005911CF"/>
    <w:rsid w:val="00595E82"/>
    <w:rsid w:val="00596450"/>
    <w:rsid w:val="00606177"/>
    <w:rsid w:val="006062AB"/>
    <w:rsid w:val="00672523"/>
    <w:rsid w:val="006D155D"/>
    <w:rsid w:val="00713F94"/>
    <w:rsid w:val="00724895"/>
    <w:rsid w:val="00765504"/>
    <w:rsid w:val="007E4376"/>
    <w:rsid w:val="007F0ADD"/>
    <w:rsid w:val="00821341"/>
    <w:rsid w:val="00842C99"/>
    <w:rsid w:val="00851D11"/>
    <w:rsid w:val="00880873"/>
    <w:rsid w:val="00886F46"/>
    <w:rsid w:val="00897C60"/>
    <w:rsid w:val="008B1C40"/>
    <w:rsid w:val="008E24D1"/>
    <w:rsid w:val="008E5853"/>
    <w:rsid w:val="0091342A"/>
    <w:rsid w:val="00927551"/>
    <w:rsid w:val="00963511"/>
    <w:rsid w:val="009836C9"/>
    <w:rsid w:val="009921A4"/>
    <w:rsid w:val="009C1195"/>
    <w:rsid w:val="009C233C"/>
    <w:rsid w:val="009C69AF"/>
    <w:rsid w:val="00A40A06"/>
    <w:rsid w:val="00A47ACA"/>
    <w:rsid w:val="00A51331"/>
    <w:rsid w:val="00AA7FBF"/>
    <w:rsid w:val="00AB0129"/>
    <w:rsid w:val="00AC287F"/>
    <w:rsid w:val="00AC372A"/>
    <w:rsid w:val="00B13171"/>
    <w:rsid w:val="00B92286"/>
    <w:rsid w:val="00BF56E4"/>
    <w:rsid w:val="00C21FE3"/>
    <w:rsid w:val="00C221B3"/>
    <w:rsid w:val="00C760AA"/>
    <w:rsid w:val="00CB7A96"/>
    <w:rsid w:val="00D21240"/>
    <w:rsid w:val="00D2765E"/>
    <w:rsid w:val="00D42297"/>
    <w:rsid w:val="00D66FBF"/>
    <w:rsid w:val="00D94512"/>
    <w:rsid w:val="00D95184"/>
    <w:rsid w:val="00DA5AE1"/>
    <w:rsid w:val="00DF312D"/>
    <w:rsid w:val="00E5755C"/>
    <w:rsid w:val="00E60332"/>
    <w:rsid w:val="00EB4EE2"/>
    <w:rsid w:val="00F00E56"/>
    <w:rsid w:val="00F04BFF"/>
    <w:rsid w:val="00F14B8C"/>
    <w:rsid w:val="00F422B9"/>
    <w:rsid w:val="00F56195"/>
    <w:rsid w:val="00F97C6B"/>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235DF0B9-104E-4B68-9604-99989E69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2</cp:revision>
  <cp:lastPrinted>2016-01-28T07:58:00Z</cp:lastPrinted>
  <dcterms:created xsi:type="dcterms:W3CDTF">2020-01-09T07:02:00Z</dcterms:created>
  <dcterms:modified xsi:type="dcterms:W3CDTF">2020-01-09T07:02:00Z</dcterms:modified>
</cp:coreProperties>
</file>