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2D46" w14:textId="77777777" w:rsidR="00C0124B" w:rsidRDefault="00C0124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D7F2FB" wp14:editId="12916778">
            <wp:simplePos x="0" y="0"/>
            <wp:positionH relativeFrom="margin">
              <wp:align>right</wp:align>
            </wp:positionH>
            <wp:positionV relativeFrom="paragraph">
              <wp:posOffset>-76835</wp:posOffset>
            </wp:positionV>
            <wp:extent cx="1438275" cy="657225"/>
            <wp:effectExtent l="0" t="0" r="9525" b="9525"/>
            <wp:wrapNone/>
            <wp:docPr id="72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6F3B29BA" wp14:editId="4BBCBB2E">
            <wp:extent cx="1552575" cy="558927"/>
            <wp:effectExtent l="0" t="0" r="0" b="0"/>
            <wp:docPr id="2" name="Рисунок 2" descr="http://eurdiq.eu/wp-content/uploads/2017/05/logo_FU_EN_color-300x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diq.eu/wp-content/uploads/2017/05/logo_FU_EN_color-300x1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9" cy="5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</w:t>
      </w:r>
    </w:p>
    <w:p w14:paraId="5663B9AA" w14:textId="46B59311" w:rsidR="00C0124B" w:rsidRPr="006677BC" w:rsidRDefault="00203A35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DESTINATION DEVELOPMENT</w:t>
      </w:r>
      <w:r w:rsidR="006677BC" w:rsidRPr="006677BC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course syllabus </w:t>
      </w:r>
    </w:p>
    <w:p w14:paraId="4AD6A25F" w14:textId="1FC959F1" w:rsidR="00C0124B" w:rsidRPr="006677BC" w:rsidRDefault="00C0124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BC">
        <w:rPr>
          <w:rFonts w:ascii="Times New Roman" w:hAnsi="Times New Roman" w:cs="Times New Roman"/>
          <w:b/>
          <w:sz w:val="32"/>
          <w:szCs w:val="32"/>
          <w:lang w:val="en-US"/>
        </w:rPr>
        <w:t>Objectives of the Course</w:t>
      </w:r>
      <w:r w:rsidR="00774383" w:rsidRPr="006677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C0124B" w:rsidRPr="001008AD" w14:paraId="33CBC4A7" w14:textId="77777777" w:rsidTr="006D029B">
        <w:trPr>
          <w:trHeight w:val="1259"/>
        </w:trPr>
        <w:tc>
          <w:tcPr>
            <w:tcW w:w="9631" w:type="dxa"/>
          </w:tcPr>
          <w:p w14:paraId="6DCB8575" w14:textId="201471EE" w:rsidR="00774383" w:rsidRPr="00BD05E5" w:rsidRDefault="00C0124B" w:rsidP="00004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main </w:t>
            </w:r>
            <w:r w:rsidR="00815C02" w:rsidRPr="00B0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16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bjectives of the course are to </w:t>
            </w:r>
            <w:r w:rsidR="00E7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broaden </w:t>
            </w:r>
            <w:r w:rsidR="006D0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students’ </w:t>
            </w:r>
            <w:r w:rsidR="00E7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understanding of </w:t>
            </w:r>
            <w:r w:rsidR="006D0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</w:t>
            </w:r>
            <w:r w:rsidR="00616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theoretical </w:t>
            </w:r>
            <w:r w:rsidR="00483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concepts </w:t>
            </w:r>
            <w:r w:rsidR="00B45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destination governance</w:t>
            </w:r>
            <w:r w:rsidR="00616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to provide</w:t>
            </w:r>
            <w:r w:rsid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systemic point of view in destination development</w:t>
            </w:r>
            <w:r w:rsidR="00483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F4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0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Through project </w:t>
            </w:r>
            <w:r w:rsid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team </w:t>
            </w:r>
            <w:r w:rsidR="006D0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work, class discussion</w:t>
            </w:r>
            <w:r w:rsid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 course readings</w:t>
            </w:r>
            <w:r w:rsidR="006D0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will develop </w:t>
            </w:r>
            <w:r w:rsid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competencies</w:t>
            </w:r>
            <w:r w:rsidR="006D0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destination development. </w:t>
            </w:r>
          </w:p>
        </w:tc>
      </w:tr>
    </w:tbl>
    <w:p w14:paraId="4535AEF0" w14:textId="77777777" w:rsidR="00C0124B" w:rsidRPr="00C0124B" w:rsidRDefault="00C0124B" w:rsidP="3FE2AF30">
      <w:pPr>
        <w:rPr>
          <w:rFonts w:ascii="Times New Roman" w:hAnsi="Times New Roman" w:cs="Times New Roman"/>
          <w:lang w:val="en-US"/>
        </w:rPr>
      </w:pPr>
      <w:commentRangeStart w:id="1"/>
      <w:commentRangeEnd w:id="1"/>
      <w:r>
        <w:commentReference w:id="1"/>
      </w:r>
    </w:p>
    <w:p w14:paraId="37851843" w14:textId="77777777" w:rsidR="000E5ACD" w:rsidRPr="006677BC" w:rsidRDefault="000E5AC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BC">
        <w:rPr>
          <w:rFonts w:ascii="Times New Roman" w:hAnsi="Times New Roman" w:cs="Times New Roman"/>
          <w:b/>
          <w:sz w:val="32"/>
          <w:szCs w:val="32"/>
          <w:lang w:val="en-US"/>
        </w:rPr>
        <w:t>Learning Outcomes: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0E5ACD" w:rsidRPr="001008AD" w14:paraId="65807C2B" w14:textId="77777777" w:rsidTr="3FE2AF30">
        <w:trPr>
          <w:trHeight w:val="1475"/>
        </w:trPr>
        <w:tc>
          <w:tcPr>
            <w:tcW w:w="9575" w:type="dxa"/>
          </w:tcPr>
          <w:p w14:paraId="08008B79" w14:textId="19D76618" w:rsidR="000E5ACD" w:rsidRPr="00670F0F" w:rsidRDefault="000E5ACD" w:rsidP="00546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completion of the course students are expected to be able to:</w:t>
            </w:r>
          </w:p>
          <w:p w14:paraId="7EBC2FCD" w14:textId="4292CD58" w:rsidR="00483ECA" w:rsidRPr="00FC6626" w:rsidRDefault="001008AD" w:rsidP="00BD05E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6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analyses</w:t>
            </w:r>
            <w:r w:rsidR="00483ECA" w:rsidRPr="00FC6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range of complex tourist destination</w:t>
            </w:r>
            <w:r w:rsidR="00AD7141" w:rsidRPr="00FC6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management situations and create high quality solutions</w:t>
            </w:r>
            <w:r w:rsidR="002A48CC" w:rsidRPr="00FC6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including destination product portfolio.</w:t>
            </w:r>
          </w:p>
          <w:p w14:paraId="14A78280" w14:textId="553D564F" w:rsidR="004F441C" w:rsidRPr="00FC6626" w:rsidRDefault="3FE2AF30" w:rsidP="3FE2AF3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FE2A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collect data and identify key factors in destination development, audit and evaluate</w:t>
            </w:r>
            <w:r w:rsidR="00004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potential of sustainable development of a tourism destination.</w:t>
            </w:r>
          </w:p>
          <w:p w14:paraId="79D11787" w14:textId="17059672" w:rsidR="002A48CC" w:rsidRPr="00BD05E5" w:rsidRDefault="00BD05E5" w:rsidP="00BD05E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AD7141" w:rsidRP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onsult and </w:t>
            </w:r>
            <w:r w:rsidR="004F441C" w:rsidRP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well-structured arguments</w:t>
            </w:r>
            <w:r w:rsidR="00AD7141" w:rsidRP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441C" w:rsidRP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r w:rsidR="00AD7141" w:rsidRPr="00B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local, regional and federal organizations related to destination development master plans, strategies and policies.</w:t>
            </w:r>
          </w:p>
        </w:tc>
      </w:tr>
    </w:tbl>
    <w:p w14:paraId="42A0E973" w14:textId="77777777" w:rsidR="00F211D3" w:rsidRDefault="00F211D3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35E4C4CB" w14:textId="77777777" w:rsidR="000E5ACD" w:rsidRPr="00B72822" w:rsidRDefault="000E5ACD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72822">
        <w:rPr>
          <w:rFonts w:ascii="Times New Roman" w:hAnsi="Times New Roman" w:cs="Times New Roman"/>
          <w:b/>
          <w:sz w:val="36"/>
          <w:szCs w:val="36"/>
          <w:lang w:val="en-US"/>
        </w:rPr>
        <w:t>Course Contents: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0E5ACD" w:rsidRPr="004058A1" w14:paraId="672A5B19" w14:textId="77777777" w:rsidTr="3FE2AF30">
        <w:trPr>
          <w:trHeight w:val="3655"/>
        </w:trPr>
        <w:tc>
          <w:tcPr>
            <w:tcW w:w="9631" w:type="dxa"/>
          </w:tcPr>
          <w:p w14:paraId="2F98D57F" w14:textId="03DD0034" w:rsidR="00121D59" w:rsidRPr="0041044C" w:rsidRDefault="008947D4" w:rsidP="00F211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UNIT 1</w:t>
            </w:r>
            <w:r w:rsidR="00627C54" w:rsidRPr="004104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66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TRENDS IN DESTINATION DEVELOPMENT</w:t>
            </w:r>
            <w:r w:rsidR="00F211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1543442D" w14:textId="6E46660B" w:rsidR="00121D59" w:rsidRPr="0041044C" w:rsidRDefault="00655BA2" w:rsidP="00546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overview of theoretical basis of destination development. Conceptual models related to reasons of destination development. </w:t>
            </w:r>
            <w:r w:rsidR="002A4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Destination governance.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characteristics of destination development in changing environment on global, national, regional and local levels. Understanding long-term and short-term outcomes of destination development.</w:t>
            </w:r>
          </w:p>
          <w:p w14:paraId="509B406C" w14:textId="77777777" w:rsidR="00876CA9" w:rsidRDefault="00876CA9" w:rsidP="00546AB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14:paraId="6DA3DDBA" w14:textId="29934313" w:rsidR="008947D4" w:rsidRPr="0041044C" w:rsidRDefault="00944E33" w:rsidP="00546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UNIT 2</w:t>
            </w:r>
            <w:r w:rsidRPr="00410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0E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DEVELOPING DESTINATION PRODUCTS</w:t>
            </w:r>
            <w:r w:rsidR="00E028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427E08B4" w14:textId="0968F883" w:rsidR="00584BDE" w:rsidRPr="0041044C" w:rsidRDefault="00620E8B" w:rsidP="00546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Destination product life cycle. Portfolio of products. </w:t>
            </w:r>
            <w:r w:rsidR="003D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Destination Management Organization (DMO).</w:t>
            </w:r>
            <w:r w:rsidR="00712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DMO involvement in product development. General product development strategy models. Principles of destination product development. Development of packages. Event, festival and activity programme development. </w:t>
            </w:r>
          </w:p>
          <w:p w14:paraId="2DFAE539" w14:textId="77777777" w:rsidR="00584BDE" w:rsidRPr="0041044C" w:rsidRDefault="00584BDE" w:rsidP="00584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69D496" w14:textId="5051E774" w:rsidR="002012C7" w:rsidRPr="0041044C" w:rsidRDefault="00584BDE" w:rsidP="006845F3">
            <w:pPr>
              <w:keepNext/>
              <w:keepLines/>
              <w:spacing w:line="265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UNIT 3</w:t>
            </w:r>
            <w:r w:rsidR="006845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QUALITY </w:t>
            </w:r>
            <w:r w:rsidR="00DE7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MANA</w:t>
            </w:r>
            <w:r w:rsidR="00D94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r w:rsidR="00C724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MENT IN DESTINATION DEVELOPMENT.</w:t>
            </w:r>
            <w:r w:rsidR="002012C7" w:rsidRPr="004104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B3CA731" w14:textId="0DFFEAC9" w:rsidR="00584BDE" w:rsidRPr="00584BDE" w:rsidRDefault="00D94A0F" w:rsidP="0077438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concept of quality in tourism. Quality in tourism as a driver for development. Maximizing visitor satisfaction and problems of evaluation. Needs, </w:t>
            </w:r>
            <w:r w:rsidR="002A4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wishes and expectations. Systemi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approach to quality management in touris</w:t>
            </w:r>
            <w:r w:rsidR="00620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r w:rsidR="00655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Quality standards and certification criteria. </w:t>
            </w:r>
            <w:r w:rsidR="00883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Destination </w:t>
            </w:r>
            <w:r w:rsidR="00620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uality strategy. Factors that influence a destination quality strategy. Types of indicators</w:t>
            </w:r>
            <w:r w:rsidR="00655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quality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Framework for</w:t>
            </w:r>
            <w:r w:rsidR="00883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developing and implementing a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estination</w:t>
            </w:r>
            <w:r w:rsidR="00883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uality strategy. </w:t>
            </w:r>
          </w:p>
          <w:p w14:paraId="10EC3F80" w14:textId="77777777" w:rsidR="00B72822" w:rsidRPr="0041044C" w:rsidRDefault="00B72822" w:rsidP="00AB3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794CC53" w14:textId="0A2CCDE0" w:rsidR="00584BDE" w:rsidRPr="00584BDE" w:rsidRDefault="00584BDE" w:rsidP="00AB34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UNIT 4</w:t>
            </w:r>
            <w:r w:rsidRPr="004104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211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TOURISM DEVELOPMENT MASTER PLANS </w:t>
            </w:r>
          </w:p>
          <w:p w14:paraId="7D0ADDEC" w14:textId="2DDED8C5" w:rsidR="00584BDE" w:rsidRPr="0041044C" w:rsidRDefault="003909FA" w:rsidP="00774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Tourism planning process. </w:t>
            </w:r>
            <w:r w:rsidR="00883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Destination development planning. Institutional basis of destination development. National tourism planning.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Benefits of strategic planning for tourism. </w:t>
            </w:r>
            <w:r w:rsidR="00396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“Pro et Contra” clusters approach in tourism development. Implementation of destination development strategy. Funding of destination development. Public Private Partnerships. </w:t>
            </w:r>
            <w:r w:rsidR="00712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Benefits of partnerships. </w:t>
            </w:r>
            <w:r w:rsidR="00396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Roles and responsibilities of economic agencies in destination development. </w:t>
            </w:r>
          </w:p>
          <w:p w14:paraId="523F9062" w14:textId="77777777" w:rsidR="00584BDE" w:rsidRPr="0041044C" w:rsidRDefault="00584BDE" w:rsidP="00AB3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92DAF0" w14:textId="4BE37AB9" w:rsidR="00B72822" w:rsidRPr="0041044C" w:rsidRDefault="008F052C" w:rsidP="00AB34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1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UNIT 5</w:t>
            </w:r>
            <w:r w:rsidR="002012C7" w:rsidRPr="0041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71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SUSTAI</w:t>
            </w:r>
            <w:r w:rsidR="00D04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NABLE DESTINATION DEVELOPMENT</w:t>
            </w:r>
          </w:p>
          <w:p w14:paraId="70903411" w14:textId="693E7EC6" w:rsidR="000E5ACD" w:rsidRPr="00620E8B" w:rsidRDefault="3FE2AF30" w:rsidP="00004BB5">
            <w:pPr>
              <w:keepNext/>
              <w:keepLines/>
              <w:spacing w:line="256" w:lineRule="auto"/>
              <w:ind w:left="14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3FE2A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to sustainable development: the essence, subject and scope. The principles of sustainability. Sustainability indicators. Policy of sustainability development. Sustainable tourism as a development tool. Situation analysis. Marketing for sustainable tourism. Case –</w:t>
            </w:r>
            <w:r w:rsidR="00004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studies.</w:t>
            </w:r>
          </w:p>
        </w:tc>
      </w:tr>
    </w:tbl>
    <w:p w14:paraId="3C8588DA" w14:textId="77777777" w:rsidR="00100C51" w:rsidRDefault="00100C51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9DFFABE" w14:textId="40648C24" w:rsidR="00C0124B" w:rsidRPr="00B72822" w:rsidRDefault="006677B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Learning activities and </w:t>
      </w:r>
      <w:r w:rsidR="000E5ACD" w:rsidRPr="00B72822">
        <w:rPr>
          <w:rFonts w:ascii="Times New Roman" w:hAnsi="Times New Roman" w:cs="Times New Roman"/>
          <w:b/>
          <w:sz w:val="36"/>
          <w:szCs w:val="36"/>
          <w:lang w:val="en-US"/>
        </w:rPr>
        <w:t>Teaching Methods: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0E5ACD" w:rsidRPr="0024290D" w14:paraId="20ECD4DF" w14:textId="77777777" w:rsidTr="3FE2AF30">
        <w:tc>
          <w:tcPr>
            <w:tcW w:w="9669" w:type="dxa"/>
          </w:tcPr>
          <w:p w14:paraId="58431797" w14:textId="566AECBD" w:rsidR="000E5ACD" w:rsidRPr="004E66A2" w:rsidRDefault="3FE2AF30" w:rsidP="00004BB5">
            <w:pPr>
              <w:spacing w:after="258" w:line="265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3FE2AF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Lectures, case study analysis and discussions, academic paper discussion, in-class exercises, project team work, student’s presentations</w:t>
            </w:r>
            <w:r w:rsidR="00004B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 final exam paper. (</w:t>
            </w:r>
          </w:p>
        </w:tc>
      </w:tr>
    </w:tbl>
    <w:p w14:paraId="0C758DBE" w14:textId="77777777" w:rsidR="00100C51" w:rsidRDefault="00100C51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4CB5A56" w14:textId="77777777" w:rsidR="000E5ACD" w:rsidRPr="00100C51" w:rsidRDefault="000E5ACD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00C51">
        <w:rPr>
          <w:rFonts w:ascii="Times New Roman" w:hAnsi="Times New Roman" w:cs="Times New Roman"/>
          <w:b/>
          <w:sz w:val="36"/>
          <w:szCs w:val="36"/>
          <w:lang w:val="en-US"/>
        </w:rPr>
        <w:t>Assessment Methods: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0E5ACD" w:rsidRPr="00A54608" w14:paraId="575CF9C1" w14:textId="77777777" w:rsidTr="3FE2AF30">
        <w:tc>
          <w:tcPr>
            <w:tcW w:w="9669" w:type="dxa"/>
          </w:tcPr>
          <w:p w14:paraId="4299CB9A" w14:textId="529C6B63" w:rsidR="00FC6626" w:rsidRDefault="00FC6626" w:rsidP="00583E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Learning outcomes (1), (2), (3) assessed by a project team work. Students will work independently and in teams.  </w:t>
            </w:r>
          </w:p>
          <w:p w14:paraId="2124B7A7" w14:textId="5649D924" w:rsidR="00FC6626" w:rsidRDefault="00FC6626" w:rsidP="00583E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outcome (1) assessed by a case study analysis and oral presentations.</w:t>
            </w:r>
          </w:p>
          <w:p w14:paraId="46835466" w14:textId="5F1D65A8" w:rsidR="00BD05E5" w:rsidRPr="00BD05E5" w:rsidRDefault="00FC6626" w:rsidP="00583E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Learning outcomes (2), (3) assessed by in-class exercises, academic paper discussion and oral presentations. </w:t>
            </w:r>
          </w:p>
          <w:p w14:paraId="2BBB9C03" w14:textId="5F08F2EA" w:rsidR="004E66A2" w:rsidRPr="00203A35" w:rsidRDefault="3FE2AF30" w:rsidP="3FE2AF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3FE2A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Final Exam</w:t>
            </w:r>
            <w:r w:rsidR="00004B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(60%), presentation (40%)</w:t>
            </w:r>
            <w:r w:rsidR="00583ECB">
              <w:commentReference w:id="2"/>
            </w:r>
          </w:p>
        </w:tc>
      </w:tr>
    </w:tbl>
    <w:p w14:paraId="6A923059" w14:textId="77777777" w:rsidR="00100C51" w:rsidRDefault="00100C51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7F43AC0F" w14:textId="783CCEEC" w:rsidR="00170FF7" w:rsidRPr="00170FF7" w:rsidRDefault="006677BC" w:rsidP="00170FF7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Recommended</w:t>
      </w:r>
      <w:r w:rsidR="00170FF7" w:rsidRPr="0017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Textbooks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/Readings</w:t>
      </w:r>
      <w:r w:rsidR="00170FF7" w:rsidRPr="00170FF7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193"/>
      </w:tblGrid>
      <w:tr w:rsidR="00170FF7" w:rsidRPr="00170FF7" w14:paraId="0E3B3C01" w14:textId="77777777" w:rsidTr="3FE2AF30">
        <w:tc>
          <w:tcPr>
            <w:tcW w:w="1869" w:type="dxa"/>
          </w:tcPr>
          <w:p w14:paraId="622CAB9D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Authors</w:t>
            </w:r>
          </w:p>
        </w:tc>
        <w:tc>
          <w:tcPr>
            <w:tcW w:w="1869" w:type="dxa"/>
          </w:tcPr>
          <w:p w14:paraId="66C0A317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869" w:type="dxa"/>
          </w:tcPr>
          <w:p w14:paraId="073D8944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1869" w:type="dxa"/>
          </w:tcPr>
          <w:p w14:paraId="5EC7BC5C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</w:p>
        </w:tc>
        <w:tc>
          <w:tcPr>
            <w:tcW w:w="2193" w:type="dxa"/>
          </w:tcPr>
          <w:p w14:paraId="2F91FA47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</w:p>
        </w:tc>
      </w:tr>
      <w:tr w:rsidR="00170FF7" w:rsidRPr="00170FF7" w14:paraId="403EC699" w14:textId="77777777" w:rsidTr="3FE2AF30">
        <w:tc>
          <w:tcPr>
            <w:tcW w:w="1869" w:type="dxa"/>
          </w:tcPr>
          <w:p w14:paraId="1179AD69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Alastair M. Morrison</w:t>
            </w:r>
          </w:p>
        </w:tc>
        <w:tc>
          <w:tcPr>
            <w:tcW w:w="1869" w:type="dxa"/>
          </w:tcPr>
          <w:p w14:paraId="03FE4DB8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Marketing and Managing </w:t>
            </w: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Tourism Destination</w:t>
            </w:r>
          </w:p>
        </w:tc>
        <w:tc>
          <w:tcPr>
            <w:tcW w:w="1869" w:type="dxa"/>
          </w:tcPr>
          <w:p w14:paraId="4DF844A4" w14:textId="77777777" w:rsidR="00170FF7" w:rsidRPr="00170FF7" w:rsidRDefault="00170FF7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Routledge</w:t>
            </w:r>
          </w:p>
        </w:tc>
        <w:tc>
          <w:tcPr>
            <w:tcW w:w="1869" w:type="dxa"/>
          </w:tcPr>
          <w:p w14:paraId="486E1547" w14:textId="77777777" w:rsidR="00170FF7" w:rsidRPr="00170FF7" w:rsidRDefault="3FE2AF30" w:rsidP="3FE2AF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FE2A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  <w:commentRangeStart w:id="3"/>
            <w:commentRangeEnd w:id="3"/>
            <w:r w:rsidR="00170FF7">
              <w:commentReference w:id="3"/>
            </w:r>
          </w:p>
        </w:tc>
        <w:tc>
          <w:tcPr>
            <w:tcW w:w="2193" w:type="dxa"/>
          </w:tcPr>
          <w:p w14:paraId="42332C7E" w14:textId="77777777" w:rsidR="00170FF7" w:rsidRPr="00170FF7" w:rsidRDefault="00170FF7" w:rsidP="000F1CE2">
            <w:pPr>
              <w:rPr>
                <w:rFonts w:ascii="Times New Roman" w:hAnsi="Times New Roman" w:cs="Times New Roman"/>
                <w:color w:val="292526"/>
                <w:sz w:val="28"/>
                <w:szCs w:val="28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</w:rPr>
              <w:t>978-0-415-67449-8</w:t>
            </w:r>
          </w:p>
        </w:tc>
      </w:tr>
      <w:tr w:rsidR="006677BC" w:rsidRPr="00170FF7" w14:paraId="469D46FF" w14:textId="77777777" w:rsidTr="3FE2AF30">
        <w:tc>
          <w:tcPr>
            <w:tcW w:w="1869" w:type="dxa"/>
          </w:tcPr>
          <w:p w14:paraId="4E68DCB6" w14:textId="2FADAC64" w:rsidR="006677BC" w:rsidRPr="00170FF7" w:rsidRDefault="006677BC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Jennifer Stange, David Brown, Solimar International</w:t>
            </w:r>
          </w:p>
        </w:tc>
        <w:tc>
          <w:tcPr>
            <w:tcW w:w="1869" w:type="dxa"/>
          </w:tcPr>
          <w:p w14:paraId="27E806F0" w14:textId="34BB5504" w:rsidR="006677BC" w:rsidRPr="00170FF7" w:rsidRDefault="3FE2AF30" w:rsidP="3FE2AF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FE2A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Tourism destination management. Achieving sustainable and competitive results. </w:t>
            </w:r>
            <w:commentRangeStart w:id="4"/>
            <w:r w:rsidRPr="3FE2A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commentRangeEnd w:id="4"/>
            <w:r w:rsidR="006677BC">
              <w:commentReference w:id="4"/>
            </w:r>
            <w:r w:rsidRPr="3FE2A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tool kit and resource series.</w:t>
            </w:r>
          </w:p>
        </w:tc>
        <w:tc>
          <w:tcPr>
            <w:tcW w:w="1869" w:type="dxa"/>
          </w:tcPr>
          <w:p w14:paraId="0B5EF058" w14:textId="11B94862" w:rsidR="006677BC" w:rsidRPr="001008AD" w:rsidRDefault="006677BC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Insitute for Tourism Studies</w:t>
            </w:r>
          </w:p>
        </w:tc>
        <w:tc>
          <w:tcPr>
            <w:tcW w:w="1869" w:type="dxa"/>
          </w:tcPr>
          <w:p w14:paraId="54371A90" w14:textId="0C1A877C" w:rsidR="006677BC" w:rsidRPr="00170FF7" w:rsidRDefault="006677BC" w:rsidP="000F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2193" w:type="dxa"/>
          </w:tcPr>
          <w:p w14:paraId="6102E1CC" w14:textId="70CC5624" w:rsidR="006677BC" w:rsidRPr="00170FF7" w:rsidRDefault="006677BC" w:rsidP="000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</w:rPr>
              <w:t>0-13-111293-7</w:t>
            </w:r>
          </w:p>
        </w:tc>
      </w:tr>
    </w:tbl>
    <w:p w14:paraId="4355B9D8" w14:textId="4FDB1E48" w:rsidR="00170FF7" w:rsidRDefault="00170FF7" w:rsidP="00170FF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7A05E17" w14:textId="77777777" w:rsidR="00AD6D95" w:rsidRPr="00966C3B" w:rsidRDefault="006677BC" w:rsidP="00170FF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6C3B">
        <w:rPr>
          <w:rFonts w:ascii="Times New Roman" w:hAnsi="Times New Roman" w:cs="Times New Roman"/>
          <w:b/>
          <w:sz w:val="32"/>
          <w:szCs w:val="32"/>
          <w:lang w:val="en-US"/>
        </w:rPr>
        <w:t>Mapping of course learning outcomes to the Master’s degree learning outcomes</w:t>
      </w:r>
    </w:p>
    <w:tbl>
      <w:tblPr>
        <w:tblStyle w:val="a3"/>
        <w:tblW w:w="9420" w:type="dxa"/>
        <w:tblLayout w:type="fixed"/>
        <w:tblLook w:val="04A0" w:firstRow="1" w:lastRow="0" w:firstColumn="1" w:lastColumn="0" w:noHBand="0" w:noVBand="1"/>
      </w:tblPr>
      <w:tblGrid>
        <w:gridCol w:w="1835"/>
        <w:gridCol w:w="1559"/>
        <w:gridCol w:w="709"/>
        <w:gridCol w:w="709"/>
        <w:gridCol w:w="709"/>
        <w:gridCol w:w="712"/>
        <w:gridCol w:w="821"/>
        <w:gridCol w:w="821"/>
        <w:gridCol w:w="821"/>
        <w:gridCol w:w="724"/>
      </w:tblGrid>
      <w:tr w:rsidR="00AD6D95" w:rsidRPr="00966C3B" w14:paraId="26DBBC67" w14:textId="77777777" w:rsidTr="00AD6D95">
        <w:tc>
          <w:tcPr>
            <w:tcW w:w="1835" w:type="dxa"/>
          </w:tcPr>
          <w:p w14:paraId="58AD3140" w14:textId="14A61D57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 title</w:t>
            </w:r>
          </w:p>
        </w:tc>
        <w:tc>
          <w:tcPr>
            <w:tcW w:w="1559" w:type="dxa"/>
          </w:tcPr>
          <w:p w14:paraId="074753E6" w14:textId="43C04CD3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 Learning Outcomes</w:t>
            </w:r>
          </w:p>
        </w:tc>
        <w:tc>
          <w:tcPr>
            <w:tcW w:w="709" w:type="dxa"/>
          </w:tcPr>
          <w:p w14:paraId="566A4464" w14:textId="435019A9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14:paraId="45CEA61E" w14:textId="72F54E85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14:paraId="23C7950E" w14:textId="47D23442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2" w:type="dxa"/>
          </w:tcPr>
          <w:p w14:paraId="3AAE10DB" w14:textId="662BB033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1" w:type="dxa"/>
          </w:tcPr>
          <w:p w14:paraId="42C96212" w14:textId="351387C5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1" w:type="dxa"/>
          </w:tcPr>
          <w:p w14:paraId="42C43570" w14:textId="494C51FB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1" w:type="dxa"/>
          </w:tcPr>
          <w:p w14:paraId="7C42EEEA" w14:textId="0FF1D39E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4" w:type="dxa"/>
          </w:tcPr>
          <w:p w14:paraId="2ED4700F" w14:textId="4B50082C" w:rsidR="00AD6D95" w:rsidRPr="00966C3B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D6D95" w:rsidRPr="00203A35" w14:paraId="3845E6A2" w14:textId="77777777" w:rsidTr="00AD6D95">
        <w:tc>
          <w:tcPr>
            <w:tcW w:w="1835" w:type="dxa"/>
          </w:tcPr>
          <w:p w14:paraId="56D783CC" w14:textId="4B0C5F79" w:rsidR="00AD6D95" w:rsidRPr="00B70D6E" w:rsidRDefault="00203A3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development</w:t>
            </w:r>
            <w:r w:rsidRPr="0020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4E814C9" w14:textId="77777777" w:rsidR="00AD6D95" w:rsidRPr="00203A35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672172B" w14:textId="6A11BA2E" w:rsidR="00AD6D95" w:rsidRPr="00203A35" w:rsidRDefault="00FC6626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14:paraId="11EFB6A6" w14:textId="77777777" w:rsidR="00AD6D95" w:rsidRPr="00203A35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43EB2AE" w14:textId="45206A8D" w:rsidR="00AD6D95" w:rsidRPr="00203A35" w:rsidRDefault="00FC6626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12" w:type="dxa"/>
          </w:tcPr>
          <w:p w14:paraId="645995C6" w14:textId="0DF8309F" w:rsidR="00AD6D95" w:rsidRPr="00203A35" w:rsidRDefault="00AD7141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1" w:type="dxa"/>
          </w:tcPr>
          <w:p w14:paraId="5BD3C197" w14:textId="77777777" w:rsidR="00AD6D95" w:rsidRPr="00203A35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" w:type="dxa"/>
          </w:tcPr>
          <w:p w14:paraId="65B6B6F0" w14:textId="77777777" w:rsidR="00AD6D95" w:rsidRPr="00203A35" w:rsidRDefault="00AD6D95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" w:type="dxa"/>
          </w:tcPr>
          <w:p w14:paraId="2D950369" w14:textId="1831B04B" w:rsidR="00AD6D95" w:rsidRPr="00203A35" w:rsidRDefault="00E037CE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4" w:type="dxa"/>
          </w:tcPr>
          <w:p w14:paraId="48B08E0A" w14:textId="4544E0F2" w:rsidR="00AD6D95" w:rsidRPr="00203A35" w:rsidRDefault="00E037CE" w:rsidP="00170F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14:paraId="6A11A8D3" w14:textId="5F820D03" w:rsidR="006677BC" w:rsidRDefault="006677BC" w:rsidP="00170FF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D1640B8" w14:textId="0424B20A" w:rsidR="00966C3B" w:rsidRDefault="00966C3B" w:rsidP="00966C3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Mapping of course assessment methods</w:t>
      </w: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699"/>
        <w:gridCol w:w="1741"/>
        <w:gridCol w:w="1236"/>
        <w:gridCol w:w="1032"/>
        <w:gridCol w:w="1661"/>
        <w:gridCol w:w="1134"/>
        <w:gridCol w:w="993"/>
      </w:tblGrid>
      <w:tr w:rsidR="002349E9" w:rsidRPr="00966C3B" w14:paraId="57053184" w14:textId="77777777" w:rsidTr="002349E9">
        <w:tc>
          <w:tcPr>
            <w:tcW w:w="1699" w:type="dxa"/>
          </w:tcPr>
          <w:p w14:paraId="79BDA03E" w14:textId="77777777" w:rsidR="00966C3B" w:rsidRPr="00966C3B" w:rsidRDefault="00966C3B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 title</w:t>
            </w:r>
          </w:p>
        </w:tc>
        <w:tc>
          <w:tcPr>
            <w:tcW w:w="1741" w:type="dxa"/>
          </w:tcPr>
          <w:p w14:paraId="7AB95CB6" w14:textId="3297BABD" w:rsidR="00966C3B" w:rsidRPr="00966C3B" w:rsidRDefault="00966C3B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Controlled Assessment</w:t>
            </w:r>
          </w:p>
        </w:tc>
        <w:tc>
          <w:tcPr>
            <w:tcW w:w="1236" w:type="dxa"/>
          </w:tcPr>
          <w:p w14:paraId="3426AB6D" w14:textId="30D9051F" w:rsidR="00966C3B" w:rsidRPr="00966C3B" w:rsidRDefault="00966C3B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</w:t>
            </w:r>
          </w:p>
        </w:tc>
        <w:tc>
          <w:tcPr>
            <w:tcW w:w="1032" w:type="dxa"/>
          </w:tcPr>
          <w:p w14:paraId="4A8B516F" w14:textId="696435FC" w:rsidR="00966C3B" w:rsidRPr="00966C3B" w:rsidRDefault="00966C3B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Essay</w:t>
            </w:r>
          </w:p>
        </w:tc>
        <w:tc>
          <w:tcPr>
            <w:tcW w:w="1661" w:type="dxa"/>
          </w:tcPr>
          <w:p w14:paraId="5DBFEB2F" w14:textId="4ABA12AA" w:rsidR="00966C3B" w:rsidRPr="00966C3B" w:rsidRDefault="00966C3B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 presentation</w:t>
            </w:r>
          </w:p>
        </w:tc>
        <w:tc>
          <w:tcPr>
            <w:tcW w:w="1134" w:type="dxa"/>
          </w:tcPr>
          <w:p w14:paraId="26AE5E71" w14:textId="21C9C7FF" w:rsidR="00966C3B" w:rsidRPr="00966C3B" w:rsidRDefault="00966C3B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 study analysis</w:t>
            </w:r>
          </w:p>
        </w:tc>
        <w:tc>
          <w:tcPr>
            <w:tcW w:w="993" w:type="dxa"/>
          </w:tcPr>
          <w:p w14:paraId="0A69CBE7" w14:textId="4EA2C819" w:rsidR="00966C3B" w:rsidRPr="00966C3B" w:rsidRDefault="002349E9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</w:p>
        </w:tc>
      </w:tr>
      <w:tr w:rsidR="002349E9" w:rsidRPr="002349E9" w14:paraId="407B2A7A" w14:textId="77777777" w:rsidTr="002349E9">
        <w:tc>
          <w:tcPr>
            <w:tcW w:w="1699" w:type="dxa"/>
          </w:tcPr>
          <w:p w14:paraId="7D4980C6" w14:textId="5BF90537" w:rsidR="00966C3B" w:rsidRPr="002349E9" w:rsidRDefault="002349E9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Destination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</w:t>
            </w:r>
          </w:p>
        </w:tc>
        <w:tc>
          <w:tcPr>
            <w:tcW w:w="1741" w:type="dxa"/>
          </w:tcPr>
          <w:p w14:paraId="07DE1462" w14:textId="77777777" w:rsidR="00966C3B" w:rsidRPr="002349E9" w:rsidRDefault="00966C3B" w:rsidP="00B456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14:paraId="6DC0AF2B" w14:textId="7E768A7D" w:rsidR="00966C3B" w:rsidRPr="002349E9" w:rsidRDefault="00E037CE" w:rsidP="00E03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32" w:type="dxa"/>
          </w:tcPr>
          <w:p w14:paraId="140CEDF9" w14:textId="77777777" w:rsidR="00966C3B" w:rsidRPr="002349E9" w:rsidRDefault="00966C3B" w:rsidP="00E03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1" w:type="dxa"/>
          </w:tcPr>
          <w:p w14:paraId="4F122BEB" w14:textId="24ABD0CD" w:rsidR="00966C3B" w:rsidRPr="002349E9" w:rsidRDefault="00E037CE" w:rsidP="00E03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14:paraId="072BB4A2" w14:textId="6E7617D2" w:rsidR="00966C3B" w:rsidRPr="002349E9" w:rsidRDefault="00E037CE" w:rsidP="00E03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14:paraId="32BD71A9" w14:textId="437CBAD7" w:rsidR="00966C3B" w:rsidRPr="002349E9" w:rsidRDefault="00E037CE" w:rsidP="00E03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14:paraId="1B3A0D20" w14:textId="77777777" w:rsidR="00966C3B" w:rsidRDefault="00966C3B" w:rsidP="00170FF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96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ianna Orphanidou" w:date="2017-08-24T17:29:00Z" w:initials="YO">
    <w:p w14:paraId="55FE9182" w14:textId="67ADEDE4" w:rsidR="3FE2AF30" w:rsidRPr="001008AD" w:rsidRDefault="3FE2AF30">
      <w:pPr>
        <w:rPr>
          <w:lang w:val="en-US"/>
        </w:rPr>
      </w:pPr>
      <w:r>
        <w:annotationRef/>
      </w:r>
      <w:r w:rsidRPr="001008AD">
        <w:rPr>
          <w:lang w:val="en-US"/>
        </w:rPr>
        <w:t xml:space="preserve">better to remove practical skills as it not measurable -keep competencies, skills and knowledge </w:t>
      </w:r>
    </w:p>
  </w:comment>
  <w:comment w:id="2" w:author="Yianna Orphanidou" w:date="2017-08-24T17:38:00Z" w:initials="YO">
    <w:p w14:paraId="528ACA18" w14:textId="01790D96" w:rsidR="3FE2AF30" w:rsidRPr="001008AD" w:rsidRDefault="3FE2AF30">
      <w:pPr>
        <w:rPr>
          <w:lang w:val="en-US"/>
        </w:rPr>
      </w:pPr>
      <w:r>
        <w:annotationRef/>
      </w:r>
      <w:r w:rsidRPr="001008AD">
        <w:rPr>
          <w:lang w:val="en-US"/>
        </w:rPr>
        <w:t>its better to provide a percentage of for each assessment method eg 50 % Final exam 10 % oral presentation etc</w:t>
      </w:r>
    </w:p>
  </w:comment>
  <w:comment w:id="3" w:author="Yianna Orphanidou" w:date="2017-08-24T17:44:00Z" w:initials="YO">
    <w:p w14:paraId="33D676D2" w14:textId="05D58CCD" w:rsidR="3FE2AF30" w:rsidRPr="001008AD" w:rsidRDefault="3FE2AF30">
      <w:pPr>
        <w:rPr>
          <w:lang w:val="en-US"/>
        </w:rPr>
      </w:pPr>
      <w:r>
        <w:annotationRef/>
      </w:r>
      <w:r w:rsidRPr="001008AD">
        <w:rPr>
          <w:lang w:val="en-US"/>
        </w:rPr>
        <w:t xml:space="preserve">its good to have updated books and ebooks as well journals as its master level </w:t>
      </w:r>
    </w:p>
  </w:comment>
  <w:comment w:id="4" w:author="Yianna Orphanidou" w:date="2017-08-24T17:44:00Z" w:initials="YO">
    <w:p w14:paraId="7931D7A1" w14:textId="52CD4E46" w:rsidR="3FE2AF30" w:rsidRPr="001008AD" w:rsidRDefault="3FE2AF30">
      <w:pPr>
        <w:rPr>
          <w:lang w:val="en-US"/>
        </w:rPr>
      </w:pPr>
      <w:r>
        <w:annotationRef/>
      </w:r>
      <w:r w:rsidRPr="001008AD">
        <w:rPr>
          <w:lang w:val="en-US"/>
        </w:rPr>
        <w:t>please share this online tool kit with me :)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E9182" w15:done="0"/>
  <w15:commentEx w15:paraId="528ACA18" w15:done="0"/>
  <w15:commentEx w15:paraId="33D676D2" w15:done="0"/>
  <w15:commentEx w15:paraId="7931D7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polyline id="_x0000_i1028" points="" coordsize="" o:bullet="t" stroked="f">
        <v:imagedata r:id="rId1" o:title="image178"/>
      </v:polyline>
    </w:pict>
  </w:numPicBullet>
  <w:abstractNum w:abstractNumId="0" w15:restartNumberingAfterBreak="0">
    <w:nsid w:val="028009CC"/>
    <w:multiLevelType w:val="hybridMultilevel"/>
    <w:tmpl w:val="368CF6F8"/>
    <w:lvl w:ilvl="0" w:tplc="66BEF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163"/>
    <w:multiLevelType w:val="hybridMultilevel"/>
    <w:tmpl w:val="A154B91C"/>
    <w:lvl w:ilvl="0" w:tplc="B95A3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4B7"/>
    <w:multiLevelType w:val="hybridMultilevel"/>
    <w:tmpl w:val="D31427AE"/>
    <w:lvl w:ilvl="0" w:tplc="96A6E0C6">
      <w:start w:val="1"/>
      <w:numFmt w:val="bullet"/>
      <w:lvlText w:val="•"/>
      <w:lvlPicBulletId w:val="0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C5E74">
      <w:start w:val="1"/>
      <w:numFmt w:val="bullet"/>
      <w:lvlText w:val="o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0D1D4">
      <w:start w:val="1"/>
      <w:numFmt w:val="bullet"/>
      <w:lvlText w:val="▪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25008">
      <w:start w:val="1"/>
      <w:numFmt w:val="bullet"/>
      <w:lvlText w:val="•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C33A6">
      <w:start w:val="1"/>
      <w:numFmt w:val="bullet"/>
      <w:lvlText w:val="o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E31B0">
      <w:start w:val="1"/>
      <w:numFmt w:val="bullet"/>
      <w:lvlText w:val="▪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E5A6E">
      <w:start w:val="1"/>
      <w:numFmt w:val="bullet"/>
      <w:lvlText w:val="•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C2FC0">
      <w:start w:val="1"/>
      <w:numFmt w:val="bullet"/>
      <w:lvlText w:val="o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AC370">
      <w:start w:val="1"/>
      <w:numFmt w:val="bullet"/>
      <w:lvlText w:val="▪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492730"/>
    <w:multiLevelType w:val="hybridMultilevel"/>
    <w:tmpl w:val="917EFA4E"/>
    <w:lvl w:ilvl="0" w:tplc="B9F0D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01C7C"/>
    <w:multiLevelType w:val="multilevel"/>
    <w:tmpl w:val="3FA8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0CC5"/>
    <w:multiLevelType w:val="hybridMultilevel"/>
    <w:tmpl w:val="3FA8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A12"/>
    <w:multiLevelType w:val="hybridMultilevel"/>
    <w:tmpl w:val="05B2FA36"/>
    <w:lvl w:ilvl="0" w:tplc="DF30F4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B"/>
    <w:rsid w:val="00004BB5"/>
    <w:rsid w:val="00007ADD"/>
    <w:rsid w:val="000115A0"/>
    <w:rsid w:val="00022136"/>
    <w:rsid w:val="00090D87"/>
    <w:rsid w:val="000E5ACD"/>
    <w:rsid w:val="001008AD"/>
    <w:rsid w:val="00100C51"/>
    <w:rsid w:val="0010612B"/>
    <w:rsid w:val="00113814"/>
    <w:rsid w:val="00121D59"/>
    <w:rsid w:val="00150296"/>
    <w:rsid w:val="00170FF7"/>
    <w:rsid w:val="001718C0"/>
    <w:rsid w:val="001E0E5C"/>
    <w:rsid w:val="002012C7"/>
    <w:rsid w:val="00203669"/>
    <w:rsid w:val="00203A35"/>
    <w:rsid w:val="002349E9"/>
    <w:rsid w:val="00240C2F"/>
    <w:rsid w:val="0024290D"/>
    <w:rsid w:val="002A48CC"/>
    <w:rsid w:val="002B3E84"/>
    <w:rsid w:val="00336203"/>
    <w:rsid w:val="00336A3D"/>
    <w:rsid w:val="00351603"/>
    <w:rsid w:val="0035218F"/>
    <w:rsid w:val="003909FA"/>
    <w:rsid w:val="00396445"/>
    <w:rsid w:val="003D774C"/>
    <w:rsid w:val="004058A1"/>
    <w:rsid w:val="0041044C"/>
    <w:rsid w:val="004139A1"/>
    <w:rsid w:val="00481AF5"/>
    <w:rsid w:val="00483ECA"/>
    <w:rsid w:val="004E66A2"/>
    <w:rsid w:val="004F441C"/>
    <w:rsid w:val="005349ED"/>
    <w:rsid w:val="00546AB6"/>
    <w:rsid w:val="00565D98"/>
    <w:rsid w:val="00583ECB"/>
    <w:rsid w:val="00584BDE"/>
    <w:rsid w:val="00593306"/>
    <w:rsid w:val="005D66EC"/>
    <w:rsid w:val="006161AA"/>
    <w:rsid w:val="00620E8B"/>
    <w:rsid w:val="00627C54"/>
    <w:rsid w:val="00655BA2"/>
    <w:rsid w:val="006677BC"/>
    <w:rsid w:val="00670F0F"/>
    <w:rsid w:val="006845F3"/>
    <w:rsid w:val="006B6940"/>
    <w:rsid w:val="006D029B"/>
    <w:rsid w:val="00712744"/>
    <w:rsid w:val="00774383"/>
    <w:rsid w:val="007974EF"/>
    <w:rsid w:val="007F6967"/>
    <w:rsid w:val="00815C02"/>
    <w:rsid w:val="00876CA9"/>
    <w:rsid w:val="00883121"/>
    <w:rsid w:val="008947D4"/>
    <w:rsid w:val="008B04CC"/>
    <w:rsid w:val="008E684B"/>
    <w:rsid w:val="008F052C"/>
    <w:rsid w:val="008F6E58"/>
    <w:rsid w:val="00944E33"/>
    <w:rsid w:val="009550B2"/>
    <w:rsid w:val="00966C3B"/>
    <w:rsid w:val="00981E53"/>
    <w:rsid w:val="00986D7D"/>
    <w:rsid w:val="009D230A"/>
    <w:rsid w:val="00A54608"/>
    <w:rsid w:val="00A82730"/>
    <w:rsid w:val="00A93F56"/>
    <w:rsid w:val="00AB343A"/>
    <w:rsid w:val="00AC03B9"/>
    <w:rsid w:val="00AD6D95"/>
    <w:rsid w:val="00AD7141"/>
    <w:rsid w:val="00B01742"/>
    <w:rsid w:val="00B37D22"/>
    <w:rsid w:val="00B45F46"/>
    <w:rsid w:val="00B660CA"/>
    <w:rsid w:val="00B70D6E"/>
    <w:rsid w:val="00B72822"/>
    <w:rsid w:val="00BD05E5"/>
    <w:rsid w:val="00BE5620"/>
    <w:rsid w:val="00C0124B"/>
    <w:rsid w:val="00C72414"/>
    <w:rsid w:val="00CD231C"/>
    <w:rsid w:val="00D04D3E"/>
    <w:rsid w:val="00D37C83"/>
    <w:rsid w:val="00D94A0F"/>
    <w:rsid w:val="00DA2E69"/>
    <w:rsid w:val="00DC212F"/>
    <w:rsid w:val="00DD0404"/>
    <w:rsid w:val="00DE79DC"/>
    <w:rsid w:val="00E028A7"/>
    <w:rsid w:val="00E037CE"/>
    <w:rsid w:val="00E76775"/>
    <w:rsid w:val="00E80DB0"/>
    <w:rsid w:val="00EE2A34"/>
    <w:rsid w:val="00EF234A"/>
    <w:rsid w:val="00F15807"/>
    <w:rsid w:val="00F211D3"/>
    <w:rsid w:val="00F451B9"/>
    <w:rsid w:val="00FC6626"/>
    <w:rsid w:val="3FE2A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834"/>
  <w15:chartTrackingRefBased/>
  <w15:docId w15:val="{C7F9A4F8-2281-45E5-B1E9-EE68D1D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B34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3306"/>
    <w:pPr>
      <w:ind w:left="720"/>
      <w:contextualSpacing/>
    </w:p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28F6-3ACA-4B57-814C-DC9801D0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Левченко</dc:creator>
  <cp:keywords/>
  <dc:description/>
  <cp:lastModifiedBy>Смит Наталья Львовна</cp:lastModifiedBy>
  <cp:revision>4</cp:revision>
  <cp:lastPrinted>2017-08-14T15:34:00Z</cp:lastPrinted>
  <dcterms:created xsi:type="dcterms:W3CDTF">2018-01-16T09:50:00Z</dcterms:created>
  <dcterms:modified xsi:type="dcterms:W3CDTF">2019-03-14T08:38:00Z</dcterms:modified>
</cp:coreProperties>
</file>