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40ECC" w:rsidRDefault="00B40ECC">
      <w:pPr>
        <w:pStyle w:val="1"/>
      </w:pPr>
      <w:r>
        <w:fldChar w:fldCharType="begin"/>
      </w:r>
      <w:r>
        <w:instrText>HYPERLINK "garantF1://70791658.0"</w:instrText>
      </w:r>
      <w:r>
        <w:fldChar w:fldCharType="separate"/>
      </w:r>
      <w:r>
        <w:rPr>
          <w:rStyle w:val="a4"/>
          <w:rFonts w:cs="Arial"/>
          <w:b w:val="0"/>
          <w:bCs w:val="0"/>
        </w:rPr>
        <w:t>Рекомендации Государственной думы РФ от 20 октября 2014 г.</w:t>
      </w:r>
      <w:r>
        <w:rPr>
          <w:rStyle w:val="a4"/>
          <w:rFonts w:cs="Arial"/>
          <w:b w:val="0"/>
          <w:bCs w:val="0"/>
        </w:rPr>
        <w:br/>
        <w:t>"Расширение возможностей предоставления дополнительного образования для детей, финансирования дополнительного образования детей из различных источников"</w:t>
      </w:r>
      <w:r>
        <w:fldChar w:fldCharType="end"/>
      </w:r>
    </w:p>
    <w:p w:rsidR="00B40ECC" w:rsidRDefault="00B40ECC"/>
    <w:p w:rsidR="00B40ECC" w:rsidRDefault="00B40ECC">
      <w:r>
        <w:t>Заслушав и обсудив доклад Комитета Государственной думы по образованию, выступления по теме круглого стола, участники круглого стола - депутаты Государственной думы, члены Совета Федерации, представители федеральных министерств и ведомств, представители органов государственной власти субъектов РФ, ученые, педагоги, представители родительской общественности, общественных организаций отмечают следующее.</w:t>
      </w:r>
    </w:p>
    <w:p w:rsidR="00B40ECC" w:rsidRDefault="00B40ECC">
      <w:hyperlink r:id="rId4" w:history="1">
        <w:r>
          <w:rPr>
            <w:rStyle w:val="a4"/>
            <w:rFonts w:cs="Arial"/>
          </w:rPr>
          <w:t>Распоряжением</w:t>
        </w:r>
      </w:hyperlink>
      <w:r>
        <w:t xml:space="preserve"> Правительства РФ от 04.09.2014 N 1726-р</w:t>
      </w:r>
      <w:hyperlink w:anchor="sub_32" w:history="1">
        <w:r>
          <w:rPr>
            <w:rStyle w:val="a4"/>
            <w:rFonts w:cs="Arial"/>
          </w:rPr>
          <w:t>*(1)</w:t>
        </w:r>
      </w:hyperlink>
      <w:r>
        <w:t xml:space="preserve"> утверждена </w:t>
      </w:r>
      <w:hyperlink r:id="rId5" w:history="1">
        <w:r>
          <w:rPr>
            <w:rStyle w:val="a4"/>
            <w:rFonts w:cs="Arial"/>
          </w:rPr>
          <w:t>Концепция</w:t>
        </w:r>
      </w:hyperlink>
      <w:r>
        <w:t xml:space="preserve"> развития дополнительного образования детей (далее - Концепция). В основу Концепции положены тезисы об обеспечении прав ребенка на развитие, личностное самоопределение и самореализацию, расширение возможностей для удовлетворения разнообразных интересов детей и их семей в сфере образования. В ней справедливо отмечается, что "образовательные инициативы активно предлагаются музеями, библиотеками, новыми общественными культурно-выставочными площадками, общественными организациями. Получили распространение инновационные организационные формы. Растет число коммерческих и некоммерческих организаций, разрабатывающих и реализующих проекты в сфере детского досуга и отдыха, образовательного туризма. Активно развивается негосударственный сектор дополнительного образования, что отвечает интересам граждан и способствует привлечению в эту сферу инвестиций". Представленный подход однозначно свидетельствует о том, что программы дополнительного образования детей становятся неотъемлемой составляющей процесса получения качественного общего образования.</w:t>
      </w:r>
    </w:p>
    <w:p w:rsidR="00B40ECC" w:rsidRDefault="00B40ECC">
      <w:r>
        <w:t>Дополнительное образование в отличие от систематического освоения основных образовательных программ общего образования имеет существенные особенности, отмеченные в Концепции:</w:t>
      </w:r>
    </w:p>
    <w:p w:rsidR="00B40ECC" w:rsidRDefault="00B40ECC">
      <w:r>
        <w:t>- участие в вариативных развивающих образовательных программах на основе добровольного выбора детей (семей) в соответствии с их интересами, склонностями и ценностями;</w:t>
      </w:r>
    </w:p>
    <w:p w:rsidR="00B40ECC" w:rsidRDefault="00B40ECC">
      <w:r>
        <w:t>- возможность выбора режима и темпа освоения образовательных программ, выстраивания индивидуальных образовательных траекторий (что имеет особое значение применительно к одаренным детям, детям с особыми образовательными потребностями);</w:t>
      </w:r>
    </w:p>
    <w:p w:rsidR="00B40ECC" w:rsidRDefault="00B40ECC">
      <w:r>
        <w:t>- право на пробы и ошибки, возможность смены образовательных программ, педагогов и организаций;</w:t>
      </w:r>
    </w:p>
    <w:p w:rsidR="00B40ECC" w:rsidRDefault="00B40ECC">
      <w:r>
        <w:t>- неформализованность содержания образования, организации образовательного процесса, уклада организаций дополнительного образования;</w:t>
      </w:r>
    </w:p>
    <w:p w:rsidR="00B40ECC" w:rsidRDefault="00B40ECC">
      <w:r>
        <w:t>- вариативный характер оценки образовательных результатов;</w:t>
      </w:r>
    </w:p>
    <w:p w:rsidR="00B40ECC" w:rsidRDefault="00B40ECC">
      <w:r>
        <w:t>- тесная связь с практикой, ориентация на создание конкретного персонального продукта и его публичную презентацию;</w:t>
      </w:r>
    </w:p>
    <w:p w:rsidR="00B40ECC" w:rsidRDefault="00B40ECC">
      <w:r>
        <w:t>- возможность на практике применить полученные знания и навыки;</w:t>
      </w:r>
    </w:p>
    <w:p w:rsidR="00B40ECC" w:rsidRDefault="00B40ECC">
      <w:r>
        <w:t>- разновозрастный характер объединений;</w:t>
      </w:r>
    </w:p>
    <w:p w:rsidR="00B40ECC" w:rsidRDefault="00B40ECC">
      <w:r>
        <w:t>- возможность выбрать себе педагога, наставника, тренера.</w:t>
      </w:r>
    </w:p>
    <w:p w:rsidR="00B40ECC" w:rsidRDefault="00B40ECC">
      <w:r>
        <w:t>Эти особенности позволяют максимально учесть индивидуальные особенности развития ребенка в сравнении с другими видами формального образования.</w:t>
      </w:r>
    </w:p>
    <w:p w:rsidR="00B40ECC" w:rsidRDefault="00B40ECC">
      <w:r>
        <w:t xml:space="preserve">Согласно </w:t>
      </w:r>
      <w:hyperlink r:id="rId6" w:history="1">
        <w:r>
          <w:rPr>
            <w:rStyle w:val="a4"/>
            <w:rFonts w:cs="Arial"/>
          </w:rPr>
          <w:t>пункту 1 части 4 статьи 12</w:t>
        </w:r>
      </w:hyperlink>
      <w:r>
        <w:t xml:space="preserve"> Федерального закона "Об образовании в Российской Федерации"</w:t>
      </w:r>
      <w:hyperlink w:anchor="sub_33" w:history="1">
        <w:r>
          <w:rPr>
            <w:rStyle w:val="a4"/>
            <w:rFonts w:cs="Arial"/>
          </w:rPr>
          <w:t>*(2)</w:t>
        </w:r>
      </w:hyperlink>
      <w:r>
        <w:t xml:space="preserve"> (далее - Закон) дополнительные общеобразовательные </w:t>
      </w:r>
      <w:r>
        <w:lastRenderedPageBreak/>
        <w:t>программы состоят из дополнительных общеразвивающих программ и дополнительных предпрофессиональных программ. По мнению участников круглого стола, расширение возможностей предоставления дополнительного образования для детей в первую очередь может достигаться за счет дополнительных общеразвивающих программ, поскольку вторая составляющая дополнительных общеобразовательных программ - дополнительные предпрофессиональные программы - имеет более узкий спектр использования в сферах культуры и спорта.</w:t>
      </w:r>
    </w:p>
    <w:p w:rsidR="00B40ECC" w:rsidRDefault="00B40ECC">
      <w:r>
        <w:t xml:space="preserve">Закон вводит понятие "образовательная программа" как универсального инструмента получения образования. При этом под образовательной программой понимается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Следует также отметить, что в соответствии с </w:t>
      </w:r>
      <w:hyperlink r:id="rId7" w:history="1">
        <w:r>
          <w:rPr>
            <w:rStyle w:val="a4"/>
            <w:rFonts w:cs="Arial"/>
          </w:rPr>
          <w:t>частью 4 статьи 75</w:t>
        </w:r>
      </w:hyperlink>
      <w:r>
        <w:t xml:space="preserve"> Закона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w:t>
      </w:r>
    </w:p>
    <w:p w:rsidR="00B40ECC" w:rsidRDefault="00B40ECC">
      <w:r>
        <w:t xml:space="preserve">Законом предусматривается возможность интеграции общеобразовательных и дополнительных программ. В соответствии со </w:t>
      </w:r>
      <w:hyperlink r:id="rId8" w:history="1">
        <w:r>
          <w:rPr>
            <w:rStyle w:val="a4"/>
            <w:rFonts w:cs="Arial"/>
          </w:rPr>
          <w:t>статьей 86</w:t>
        </w:r>
      </w:hyperlink>
      <w:r>
        <w:t xml:space="preserve"> Закона при определении обучения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 допускается, что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B40ECC" w:rsidRDefault="00B40ECC">
      <w:r>
        <w:t>Использование интеграции программ общего и дополнительного образования, обеспечивающих расширение вариативности образования как ресурса личностного и социального самоопределения детей, может стать универсальным механизмом формирования индивидуального учебного плана.</w:t>
      </w:r>
    </w:p>
    <w:p w:rsidR="00B40ECC" w:rsidRDefault="00B40ECC">
      <w:r>
        <w:t>Проблемой дополнительного образования остается необходимость государственного и общественного контроля за его качеством. Представляется важным создание системы оценки качества дополнительного образования детей, включающей инструменты, позволяющие оценивать содержание программ, качество обучения детей по программам дополнительного образования, а также результаты деятельности учреждений дополнительного образования. Этот вопрос также не может быть решен без дифференциации и классификации как самого дополнительного образования, так и образовательных программ.</w:t>
      </w:r>
    </w:p>
    <w:p w:rsidR="00B40ECC" w:rsidRDefault="00B40ECC">
      <w:r>
        <w:t>В случае значительных по объему и срокам реализации программ дополнительного образования, например программ обучения в музыкальных школах, художественных школах, двухлетних программ дополнительного образования в учреждениях образования, государственный и внешний контроль качества представляется целесообразным и необходимым. В этом случае будет правильно предоставить таким программам соответствующий статус в системе образования, результаты успешного освоения таких программ дополнительного образования должны учитываться при обучении как в общеобразовательной школе, так и при продолжении образования на следующих уровнях. Механизмами такого учета могут стать:</w:t>
      </w:r>
    </w:p>
    <w:p w:rsidR="00B40ECC" w:rsidRDefault="00B40ECC">
      <w:r>
        <w:t xml:space="preserve">- рекомендации по учету достижений школьников в освоении программ </w:t>
      </w:r>
      <w:r>
        <w:lastRenderedPageBreak/>
        <w:t>дополнительного образования по месту освоения основной программы (формой может быть зачет оценки по общеобразовательным предметам либо возможность включения программы в индивидуальный учебный план);</w:t>
      </w:r>
    </w:p>
    <w:p w:rsidR="00B40ECC" w:rsidRDefault="00B40ECC">
      <w:r>
        <w:t>- право включения результатов освоения программы дополнительного образования (документа об успешном освоении программы) в портфолио ученика, что, в свою очередь, может учитываться при конкурсном поступлении для продолжения обучения по программам профессионального образования.</w:t>
      </w:r>
    </w:p>
    <w:p w:rsidR="00B40ECC" w:rsidRDefault="00B40ECC">
      <w:r>
        <w:t>Вместе с тем практика индивидуальных образовательных программ как инструмента индивидуализации в образовательных организациях общего образования используется недостаточно, методически не подкреплена. Использование интеграции программ общего и дополнительного образования, обеспечивающих расширение вариативности образования как ресурса личностного и социального самоопределения детей, может стать универсальным механизмом формирования индивидуального учебного плана.</w:t>
      </w:r>
    </w:p>
    <w:p w:rsidR="00B40ECC" w:rsidRDefault="00B40ECC">
      <w:r>
        <w:t>Участники круглого стола отмечают, что самостоятельная разработка образовательных программ представляет трудности для отдельных организаций дополнительного образования, в первую очередь небольших. Возможным устранением этих трудностей может стать формирование единого банка программ дополнительного образования. Наличие такого банка станет существенной методической поддержкой для организаций, реализующих программы дополнительного образования детей.</w:t>
      </w:r>
    </w:p>
    <w:p w:rsidR="00B40ECC" w:rsidRDefault="00B40ECC">
      <w:r>
        <w:t xml:space="preserve">Другая возможность, которую предоставляет Закон для развития системы дополнительного образования, заключается в использовании сетевой формы реализации образовательных программ. Сетевой форме реализации образовательных программ посвящена </w:t>
      </w:r>
      <w:hyperlink r:id="rId9" w:history="1">
        <w:r>
          <w:rPr>
            <w:rStyle w:val="a4"/>
            <w:rFonts w:cs="Arial"/>
          </w:rPr>
          <w:t>статья 15</w:t>
        </w:r>
      </w:hyperlink>
      <w:r>
        <w:t xml:space="preserve"> Закона, согласно которой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B40ECC" w:rsidRDefault="00B40ECC">
      <w:r>
        <w:t>Особенности сетевой формы реализации образовательных программ должны учитываться органами государственной власти субъектов РФ при определении нормативных затрат на оказание государственной или муниципальной услуги в сфере образования.</w:t>
      </w:r>
    </w:p>
    <w:p w:rsidR="00B40ECC" w:rsidRDefault="00B40ECC">
      <w:r>
        <w:t>Еще одно затруднение при реализации программ дополнительного образования связано с лицензированием этого вида образовательной деятельности. Несмотря на то что Закон предусматривает возможность установления особенностей лицензирования, в Положении о лицензировании таких особенностей не предусмотрено.</w:t>
      </w:r>
    </w:p>
    <w:p w:rsidR="00B40ECC" w:rsidRDefault="00B40ECC">
      <w:r>
        <w:t xml:space="preserve">Участники круглого стола отмечают отсутствие в настоящее время единого порядка организации и осуществления образовательной деятельности для дополнительного образования. Согласно </w:t>
      </w:r>
      <w:hyperlink r:id="rId10" w:history="1">
        <w:r>
          <w:rPr>
            <w:rStyle w:val="a4"/>
            <w:rFonts w:cs="Arial"/>
          </w:rPr>
          <w:t>части 11 статьи 13</w:t>
        </w:r>
      </w:hyperlink>
      <w:r>
        <w:t xml:space="preserve"> Закона "порядок организации и осуществления образовательной деятельности по соответствующим образовательным программам различного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образования". Очевидно, что порядок требуется разработать в ближайшее время для всего спектра дополнительного образования.</w:t>
      </w:r>
    </w:p>
    <w:p w:rsidR="00B40ECC" w:rsidRDefault="00B40ECC">
      <w:r>
        <w:t xml:space="preserve">В соответствии с </w:t>
      </w:r>
      <w:hyperlink r:id="rId11" w:history="1">
        <w:r>
          <w:rPr>
            <w:rStyle w:val="a4"/>
            <w:rFonts w:cs="Arial"/>
          </w:rPr>
          <w:t>пунктом 3 части 1 статьи 8</w:t>
        </w:r>
      </w:hyperlink>
      <w:r>
        <w:t xml:space="preserve"> Закона к полномочиям органов государственной власти субъектов РФ в сфере образования относится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РФ. Кроме того, в соответствии с </w:t>
      </w:r>
      <w:hyperlink r:id="rId12" w:history="1">
        <w:r>
          <w:rPr>
            <w:rStyle w:val="a4"/>
            <w:rFonts w:cs="Arial"/>
          </w:rPr>
          <w:t>частью 2</w:t>
        </w:r>
      </w:hyperlink>
      <w:r>
        <w:t xml:space="preserve"> той же статьи органы государственной власти субъектов РФ имеют право на предоставление государственной поддержки дополнительного образования детей в муниципальных образовательных организациях.</w:t>
      </w:r>
    </w:p>
    <w:p w:rsidR="00B40ECC" w:rsidRDefault="00B40ECC">
      <w:r>
        <w:t xml:space="preserve">Согласно </w:t>
      </w:r>
      <w:hyperlink r:id="rId13" w:history="1">
        <w:r>
          <w:rPr>
            <w:rStyle w:val="a4"/>
            <w:rFonts w:cs="Arial"/>
          </w:rPr>
          <w:t>пункту 2 части 1 статьи 9</w:t>
        </w:r>
      </w:hyperlink>
      <w:r>
        <w:t xml:space="preserve"> Закона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относится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РФ).</w:t>
      </w:r>
    </w:p>
    <w:p w:rsidR="00B40ECC" w:rsidRDefault="00B40ECC">
      <w:r>
        <w:t>Таким образом, в Российской Федерации закреплена возможность финансирования дополнительного образования в муниципальных общеобразовательных организациях из бюджета субъектов РФ. Финансирование должно осуществляться на основании норматива, для определения которого, как правило, используется образовательный стандарт. Сложность установления норматива для программ дополнительного образования детей заключается в том, что в дополнительном образовании нет стандарта. Преодолеть эту проблему возможно, используя в качестве основы для норматива соответствующим образом разработанную образовательную программу, которая содержит все необходимые компоненты для его формирования.</w:t>
      </w:r>
    </w:p>
    <w:p w:rsidR="00B40ECC" w:rsidRDefault="00B40ECC">
      <w:r>
        <w:t>Также следует учитывать, что на дополнительное образование детей не распространяются государственные гарантии "общедоступности и бесплатности", в связи с чем возникает необходимость определения категорий получателей, которым данная услуга будет оказываться за счет средств бюджетов бюджетной системы Российской Федерации.</w:t>
      </w:r>
    </w:p>
    <w:p w:rsidR="00B40ECC" w:rsidRDefault="00B40ECC">
      <w:r>
        <w:t>В данном случае целесообразно проанализировать опыт регионов по использованию механизма финансирования услуг дополнительного образования посредством индивидуальных ваучеров, поскольку такой опыт существует, но до его серьезного анализа, формирования для него соответствующей технологии и распространения дело не дошло.</w:t>
      </w:r>
    </w:p>
    <w:p w:rsidR="00B40ECC" w:rsidRDefault="00B40ECC">
      <w:r>
        <w:t>При этом требует решения вопрос установления стоимости услуги, оказываемой на платной основе. В соответствии с федеральными законами N 7-ФЗ "О некоммерческих организациях"</w:t>
      </w:r>
      <w:hyperlink w:anchor="sub_34" w:history="1">
        <w:r>
          <w:rPr>
            <w:rStyle w:val="a4"/>
            <w:rFonts w:cs="Arial"/>
          </w:rPr>
          <w:t>*(3)</w:t>
        </w:r>
      </w:hyperlink>
      <w:r>
        <w:t xml:space="preserve"> (</w:t>
      </w:r>
      <w:hyperlink r:id="rId14" w:history="1">
        <w:r>
          <w:rPr>
            <w:rStyle w:val="a4"/>
            <w:rFonts w:cs="Arial"/>
          </w:rPr>
          <w:t>п. 4. ст. 9.2</w:t>
        </w:r>
      </w:hyperlink>
      <w:r>
        <w:t>) и N 174-ФЗ "Об автономных учреждениях"</w:t>
      </w:r>
      <w:hyperlink w:anchor="sub_35" w:history="1">
        <w:r>
          <w:rPr>
            <w:rStyle w:val="a4"/>
            <w:rFonts w:cs="Arial"/>
          </w:rPr>
          <w:t>*(4)</w:t>
        </w:r>
      </w:hyperlink>
      <w:r>
        <w:t xml:space="preserve"> (</w:t>
      </w:r>
      <w:hyperlink r:id="rId15" w:history="1">
        <w:r>
          <w:rPr>
            <w:rStyle w:val="a4"/>
            <w:rFonts w:cs="Arial"/>
          </w:rPr>
          <w:t>ст. 4</w:t>
        </w:r>
      </w:hyperlink>
      <w:r>
        <w:t>) "при определении платы на основные платные услуги бюджетные и автономные учреждения должны исходить из того, что данные услуги должны оказываться на тех же условиях, что и государственные (муниципальные) услуги, финансовое обеспечение предоставления которых осуществляется за счет средств соответствующих бюджетов бюджетной системы Российской Федерации". Следовательно, увеличение стоимости программ обучения за счет бюджетных средств напрямую будет влиять на уровень стоимости платных услуг.</w:t>
      </w:r>
    </w:p>
    <w:p w:rsidR="00B40ECC" w:rsidRDefault="00B40ECC">
      <w:r>
        <w:lastRenderedPageBreak/>
        <w:t>Необходимо ускорить утверждение базового (отраслевого) ведомственного перечня государственных (муниципальных) услуг в сфере образования по реализации дополнительных предпрофессиональных и общеразвивающих программ с учетом их разнообразия, а также подготовить предложения по включению услуг в сфере культуры, физической культуры и спорта в соответствующие базовые и ведомственные перечни. Существует потребность в методических рекомендациях по формированию муниципальных и государственных заданий на реализацию программ дополнительного образования для общеобразовательных и иных организаций.</w:t>
      </w:r>
    </w:p>
    <w:p w:rsidR="00B40ECC" w:rsidRDefault="00B40ECC">
      <w:r>
        <w:t xml:space="preserve">Реализация предложений, содержащихся в </w:t>
      </w:r>
      <w:hyperlink r:id="rId16" w:history="1">
        <w:r>
          <w:rPr>
            <w:rStyle w:val="a4"/>
            <w:rFonts w:cs="Arial"/>
          </w:rPr>
          <w:t>Концепции</w:t>
        </w:r>
      </w:hyperlink>
      <w:r>
        <w:t xml:space="preserve">, потребует выделения дополнительных ассигнований на всех уровнях бюджетной системы. </w:t>
      </w:r>
      <w:hyperlink r:id="rId17" w:history="1">
        <w:r>
          <w:rPr>
            <w:rStyle w:val="a4"/>
            <w:rFonts w:cs="Arial"/>
          </w:rPr>
          <w:t>Проект</w:t>
        </w:r>
      </w:hyperlink>
      <w:r>
        <w:t xml:space="preserve"> федерального закона N 611445-6 "О федеральном бюджете на 2015 год и на плановый период 2016 и 2017 годов"</w:t>
      </w:r>
      <w:hyperlink w:anchor="sub_37" w:history="1">
        <w:r>
          <w:rPr>
            <w:rStyle w:val="a4"/>
            <w:rFonts w:cs="Arial"/>
          </w:rPr>
          <w:t>*(5)</w:t>
        </w:r>
      </w:hyperlink>
      <w:r>
        <w:t xml:space="preserve">, внесенный Правительством РФ, не предусматривает в должном объеме средства федерального бюджета на реализацию </w:t>
      </w:r>
      <w:hyperlink r:id="rId18" w:history="1">
        <w:r>
          <w:rPr>
            <w:rStyle w:val="a4"/>
            <w:rFonts w:cs="Arial"/>
          </w:rPr>
          <w:t>Указа</w:t>
        </w:r>
      </w:hyperlink>
      <w:r>
        <w:t xml:space="preserve"> Президента РФ от 07.05.2012 N 599</w:t>
      </w:r>
      <w:hyperlink w:anchor="sub_37" w:history="1">
        <w:r>
          <w:rPr>
            <w:rStyle w:val="a4"/>
            <w:rFonts w:cs="Arial"/>
          </w:rPr>
          <w:t>*(6)</w:t>
        </w:r>
      </w:hyperlink>
      <w:r>
        <w:t xml:space="preserve"> в части увеличения к 2020 году числа детей в возрасте от 5 до 18 лет, обучающихся по дополнительным образовательным программам, в общей численности детей этого возраста до 70-75%, при условии, что 50% из них должны обучаться за счет бюджетных ассигнований федерального бюджета. Расчеты, проведенные для условий, установленных в Указе Президента РФ, и учитывающие проведение двух занятий только в учебные недели при стоимости занятий для одного ученика 100 рублей, указывают на необходимость предусмотреть в бюджете дополнительно сумму 56 млрд 700 млн рублей, которую необходимо планировать в 2015-м и последующих годах.</w:t>
      </w:r>
    </w:p>
    <w:p w:rsidR="00B40ECC" w:rsidRDefault="00B40ECC">
      <w:r>
        <w:t xml:space="preserve">На федеральном уровне мероприятия по развитию дополнительного образования детей реализуются в рамках </w:t>
      </w:r>
      <w:hyperlink r:id="rId19" w:history="1">
        <w:r>
          <w:rPr>
            <w:rStyle w:val="a4"/>
            <w:rFonts w:cs="Arial"/>
          </w:rPr>
          <w:t>Государственной программы</w:t>
        </w:r>
      </w:hyperlink>
      <w:r>
        <w:t xml:space="preserve"> "Развитие образования" на 2013-2020 годы (далее - ГПРО). Учитывая установленное законодательством Российской Федерации разграничение полномочий, в настоящее время в ГПРО по данному мероприятию отражено в основном финансовое обеспечение деятельности федеральных образовательных учреждений дополнительного образования.</w:t>
      </w:r>
    </w:p>
    <w:p w:rsidR="00B40ECC" w:rsidRDefault="00B40ECC">
      <w:r>
        <w:t xml:space="preserve">Реализация </w:t>
      </w:r>
      <w:hyperlink r:id="rId20" w:history="1">
        <w:r>
          <w:rPr>
            <w:rStyle w:val="a4"/>
            <w:rFonts w:cs="Arial"/>
          </w:rPr>
          <w:t>Концепции</w:t>
        </w:r>
      </w:hyperlink>
      <w:r>
        <w:t xml:space="preserve"> требует формирования на федеральном уровне механизмов ресурсной поддержки региональных программ развития дополнительного образования детей, увеличения масштаба подготовки управленческих кадров для сферы дополнительного образования детей, модернизации инфраструктуры дополнительного образования, использования механизмов налогового стимулирования и др. По существу, требуется проведение модернизации региональных систем дополнительного образования по аналогии с проектом МРСО, т.к. только такой подход может обеспечить качественное преобразование системы дополнительного образования. Для этого потребуется внести необходимые изменения в Государственную программу "Развитие образования на период 2013-2020 годов".</w:t>
      </w:r>
    </w:p>
    <w:p w:rsidR="00B40ECC" w:rsidRDefault="00B40ECC">
      <w:r>
        <w:t>Соответствующие изменения должны быть внесены и в региональные программы развития образования, в которых должен быть раздел или самостоятельная подпрограмма, обеспечивающие развитие дополнительного образования в регионе, меры по подготовке и переподготовке педагогических кадров для обеспечения реализации программ дополнительного образования детей, а также по переподготовке преподавательских кадров, занятых подготовкой и переподготовкой педагогических кадров для реализации этих программ; предусмотрев комплекс мер по дополнительной социальной поддержке педагогов дополнительного образования - молодых специалистов.</w:t>
      </w:r>
    </w:p>
    <w:p w:rsidR="00B40ECC" w:rsidRDefault="00B40ECC">
      <w:hyperlink r:id="rId21" w:history="1">
        <w:r>
          <w:rPr>
            <w:rStyle w:val="a4"/>
            <w:rFonts w:cs="Arial"/>
          </w:rPr>
          <w:t>Закон</w:t>
        </w:r>
      </w:hyperlink>
      <w:r>
        <w:t xml:space="preserve"> предусматривает возможность координации деятельности в сфере дополнительного образования детей. В частности, в </w:t>
      </w:r>
      <w:hyperlink r:id="rId22" w:history="1">
        <w:r>
          <w:rPr>
            <w:rStyle w:val="a4"/>
            <w:rFonts w:cs="Arial"/>
          </w:rPr>
          <w:t xml:space="preserve">части 5 статьи 89 </w:t>
        </w:r>
      </w:hyperlink>
      <w:r>
        <w:t xml:space="preserve"> говорится о том, </w:t>
      </w:r>
      <w:r>
        <w:lastRenderedPageBreak/>
        <w:t>что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РФ и иных субъектов системы образования. Вместе с тем в координации нуждается не только деятельность подведомственных им учреждений, но и иных структур, поддерживаемых государством, в частности структур молодежной политики, к которым можно отнести ДОСААФ, военно-патриотические движения МВД, МЧС, Минобороны России и целый ряд других. Например, в соответствии с уставом основной целью ДОСААФ России является содействие укреплению обороноспособности страны, национальной безопасности и решению социальных проблем по следующим основным направлениям:</w:t>
      </w:r>
    </w:p>
    <w:p w:rsidR="00B40ECC" w:rsidRDefault="00B40ECC">
      <w:r>
        <w:t>- организация патриотического (военно-патриотического) воспитания граждан;</w:t>
      </w:r>
    </w:p>
    <w:p w:rsidR="00B40ECC" w:rsidRDefault="00B40ECC">
      <w:r>
        <w:t>- содействие органам государственной власти в проведении молодежной политики;</w:t>
      </w:r>
    </w:p>
    <w:p w:rsidR="00B40ECC" w:rsidRDefault="00B40ECC">
      <w:r>
        <w:t>- содействие образовательным учреждениям (организациям) в обучении граждан начальным знаниям в области обороны и их подготовки по основам военной службы;</w:t>
      </w:r>
    </w:p>
    <w:p w:rsidR="00B40ECC" w:rsidRDefault="00B40ECC">
      <w:r>
        <w:t>- организация физического воспитания граждан;</w:t>
      </w:r>
    </w:p>
    <w:p w:rsidR="00B40ECC" w:rsidRDefault="00B40ECC">
      <w:r>
        <w:t>- развитие авиационных, технических и военно-прикладных видов спорта, технического творчества молодежи во взаимодействии с иными субъектами физической культуры и спорта;</w:t>
      </w:r>
    </w:p>
    <w:p w:rsidR="00B40ECC" w:rsidRDefault="00B40ECC">
      <w:r>
        <w:t>- подготовка специалистов массовых технических профессий в интересах хозяйственного и оборонно-промышленного комплекса страны;</w:t>
      </w:r>
    </w:p>
    <w:p w:rsidR="00B40ECC" w:rsidRDefault="00B40ECC">
      <w:r>
        <w:t>- осуществление иной образовательной деятельности.</w:t>
      </w:r>
    </w:p>
    <w:p w:rsidR="00B40ECC" w:rsidRDefault="00B40ECC">
      <w:r>
        <w:t>Для достижения указанных целей ДОСААФ России в соответствии с постановлением Правительства РФ выполняет следующие государственные задачи:</w:t>
      </w:r>
    </w:p>
    <w:p w:rsidR="00B40ECC" w:rsidRDefault="00B40ECC">
      <w:r>
        <w:t>- патриотическое (военно-патриотическое) воспитание граждан;</w:t>
      </w:r>
    </w:p>
    <w:p w:rsidR="00B40ECC" w:rsidRDefault="00B40ECC">
      <w:r>
        <w:t>- развитие авиационных и технических видов спорта;</w:t>
      </w:r>
    </w:p>
    <w:p w:rsidR="00B40ECC" w:rsidRDefault="00B40ECC">
      <w:r>
        <w:t>- участие в развитии физической культуры и военно-прикладных видов спорта;</w:t>
      </w:r>
    </w:p>
    <w:p w:rsidR="00B40ECC" w:rsidRDefault="00B40ECC">
      <w:r>
        <w:t>- подготовку специалистов массовых технических профессий и развитие технического творчества.</w:t>
      </w:r>
    </w:p>
    <w:p w:rsidR="00B40ECC" w:rsidRDefault="00B40ECC">
      <w:r>
        <w:t>Участники круглого стола обращают внимание на важность развития в рамках дополнительного образования технических видов спорта, поисковой деятельности, поддержки научных исследований школьников. Эти направления, хотя и являются достаточно ресурсоемкими, несут в себе большой воспитательный потенциал, эффективно вовлекают в систему дополнительного образования подростков, в том числе из неблагополучных семей, снижая таким образом потенциальную и реальную базу правонарушений.</w:t>
      </w:r>
    </w:p>
    <w:p w:rsidR="00B40ECC" w:rsidRDefault="00B40ECC">
      <w:r>
        <w:t>Закон определяет широкий спектр организаций, которые имеют право реализовывать дополнительные образовательные программы:</w:t>
      </w:r>
    </w:p>
    <w:p w:rsidR="00B40ECC" w:rsidRDefault="00B40ECC">
      <w:r>
        <w:t>- дошкольные образовательные организации;</w:t>
      </w:r>
    </w:p>
    <w:p w:rsidR="00B40ECC" w:rsidRDefault="00B40ECC">
      <w:r>
        <w:t>- общеобразовательные организации;</w:t>
      </w:r>
    </w:p>
    <w:p w:rsidR="00B40ECC" w:rsidRDefault="00B40ECC">
      <w:r>
        <w:t>- профессиональные образовательные организации;</w:t>
      </w:r>
    </w:p>
    <w:p w:rsidR="00B40ECC" w:rsidRDefault="00B40ECC">
      <w:r>
        <w:t>- образовательные организации высшего образования;</w:t>
      </w:r>
    </w:p>
    <w:p w:rsidR="00B40ECC" w:rsidRDefault="00B40ECC">
      <w:r>
        <w:t>- организации дополнительного образования;</w:t>
      </w:r>
    </w:p>
    <w:p w:rsidR="00B40ECC" w:rsidRDefault="00B40ECC">
      <w:r>
        <w:t>- организации, осуществляющие лечение, оздоровление и (или) отдых;</w:t>
      </w:r>
    </w:p>
    <w:p w:rsidR="00B40ECC" w:rsidRDefault="00B40ECC">
      <w:r>
        <w:t>- организации, осуществляющие социальное обслуживание;</w:t>
      </w:r>
    </w:p>
    <w:p w:rsidR="00B40ECC" w:rsidRDefault="00B40ECC">
      <w:r>
        <w:t>- иные юридические лица.</w:t>
      </w:r>
    </w:p>
    <w:p w:rsidR="00B40ECC" w:rsidRDefault="00B40ECC">
      <w:r>
        <w:t xml:space="preserve">Таким образом, значительное число организаций в стране, и не только системы образования, имеют право реализовывать программы дополнительного образования. </w:t>
      </w:r>
      <w:r>
        <w:lastRenderedPageBreak/>
        <w:t>Однако этим правом практически не пользуются. Это связано с избыточной регламентацией процедур лицензирования, отсутствием механизмов финансового обеспечения и финансирования организаций разной ведомственной принадлежности при сетевых формах совместной реализации образовательных программ.</w:t>
      </w:r>
    </w:p>
    <w:p w:rsidR="00B40ECC" w:rsidRDefault="00B40ECC">
      <w:r>
        <w:t>Закон предусматривает, что "лицензирование образовательной деятельности осуществляется по подвидам дополнительного образования". Учитывая, что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 лицензия должна выдаваться на один подвид образования - дополнительное образование детей и взрослых. Учитывая чрезвычайное многообразие возможных программ дополнительного образования детей, задача создания для всех единых требований в рамках лицензионной процедуры привела к максимальному усложнению этих требований. Ввиду избыточности лицензионных требований не все организации их могут выполнить.</w:t>
      </w:r>
    </w:p>
    <w:p w:rsidR="00B40ECC" w:rsidRDefault="00B40ECC">
      <w:r>
        <w:t>Еще одним направлением расширения возможностей предоставления дополнительного образования, в котором требуется снижение административных барьеров, является изменение условий медицинского обслуживания. Порядок организации групповых поездок детей (до недавнего времени только на железнодорожном транспорте) требует сопровождения детей медицинскими работниками, что уже привело к уменьшению числа мероприятий, связанных с перевозкой детей. С 1 января 2015 г. становится обязательным требование медицинского сопровождения для автобусных поездок. С учетом доступности оказания медицинской по мощи необходимо пересмотреть требования в части медицинского сопровождения реализации образовательных программ дополнительного образования, убрав из них избыточные.</w:t>
      </w:r>
    </w:p>
    <w:p w:rsidR="00B40ECC" w:rsidRDefault="00B40ECC">
      <w:r>
        <w:t>Участники круглого стола особенно отмечают важность развития негосударственного сектора дополнительного образования, включая индивидуальных предпринимателей, осуществляющих образовательную деятельность непосредственно в сфере дополнительного образования. Это тот сегмент образования, где частные структуры составляют достойную конкуренцию государственным структурам, снижая нагрузку на бюджет и обеспечивая увеличение спектра образовательных услуг для граждан.</w:t>
      </w:r>
    </w:p>
    <w:p w:rsidR="00B40ECC" w:rsidRDefault="00B40ECC">
      <w:r>
        <w:t>Как отдельную важную проблему участники круглого стола выделяют развитие дополнительного образования в сельской местности. Здесь особое внимание необходимо уделить организации дополнительного образования на базе сельских школ, с тем чтобы сделать школу социокультурным центром для всего поселения.</w:t>
      </w:r>
    </w:p>
    <w:p w:rsidR="00B40ECC" w:rsidRDefault="00B40ECC">
      <w:r>
        <w:t>Учитывая вышеизложенное, участники круглого стола рекомендуют.</w:t>
      </w:r>
    </w:p>
    <w:p w:rsidR="00B40ECC" w:rsidRDefault="00B40ECC"/>
    <w:p w:rsidR="00B40ECC" w:rsidRDefault="00B40ECC">
      <w:pPr>
        <w:pStyle w:val="1"/>
      </w:pPr>
      <w:bookmarkStart w:id="1" w:name="sub_1"/>
      <w:r>
        <w:t>Комитету Государственной думы по образованию</w:t>
      </w:r>
    </w:p>
    <w:bookmarkEnd w:id="1"/>
    <w:p w:rsidR="00B40ECC" w:rsidRDefault="00B40ECC"/>
    <w:p w:rsidR="00B40ECC" w:rsidRDefault="00B40ECC">
      <w:r>
        <w:t>Рассмотреть возможности:</w:t>
      </w:r>
    </w:p>
    <w:p w:rsidR="00B40ECC" w:rsidRDefault="00B40ECC">
      <w:r>
        <w:t>- законодательного закрепления особенностей лицензирования образовательной деятельности по реализации программ дополнительного образования;</w:t>
      </w:r>
    </w:p>
    <w:p w:rsidR="00B40ECC" w:rsidRDefault="00B40ECC">
      <w:r>
        <w:t xml:space="preserve">- внесения дополнений в </w:t>
      </w:r>
      <w:hyperlink r:id="rId23" w:history="1">
        <w:r>
          <w:rPr>
            <w:rStyle w:val="a4"/>
            <w:rFonts w:cs="Arial"/>
          </w:rPr>
          <w:t>часть 3 статьи 5</w:t>
        </w:r>
      </w:hyperlink>
      <w:r>
        <w:t xml:space="preserve"> N 273-ФЗ с целью нормативного закрепления обеспечения предоставления бесплатного и общедоступного дополнительного образования для детей, определив срок введения в действие не позднее 1 сентября 2018 г.</w:t>
      </w:r>
    </w:p>
    <w:p w:rsidR="00B40ECC" w:rsidRDefault="00B40ECC"/>
    <w:p w:rsidR="00B40ECC" w:rsidRDefault="00B40ECC">
      <w:pPr>
        <w:pStyle w:val="1"/>
      </w:pPr>
      <w:bookmarkStart w:id="2" w:name="sub_5"/>
      <w:r>
        <w:t>Правительству Российской Федерации</w:t>
      </w:r>
    </w:p>
    <w:bookmarkEnd w:id="2"/>
    <w:p w:rsidR="00B40ECC" w:rsidRDefault="00B40ECC"/>
    <w:p w:rsidR="00B40ECC" w:rsidRDefault="00B40ECC">
      <w:bookmarkStart w:id="3" w:name="sub_2"/>
      <w:r>
        <w:t>1. Внести изменения:</w:t>
      </w:r>
    </w:p>
    <w:bookmarkEnd w:id="3"/>
    <w:p w:rsidR="00B40ECC" w:rsidRDefault="00B40ECC">
      <w:r>
        <w:t>- в Положение о лицензировании образовательной деятельности, обеспечивающие упрощение и дифференцирование лицензионных требований к лицензиатам в зависимости от сложности реализуемых ими образовательных программ, упорядочивающие лицензирование в условиях сетевого взаимодействия образовательных организаций;</w:t>
      </w:r>
    </w:p>
    <w:p w:rsidR="00B40ECC" w:rsidRDefault="00B40ECC">
      <w:r>
        <w:t>- в нормативные правовые акты, регулирующие сферу дополнительного образования детей, обеспечивающие снижение административных барьеров для расширения доступа негосударственных организаций к предоставлению услуг дополнительного образования детей;</w:t>
      </w:r>
    </w:p>
    <w:p w:rsidR="00B40ECC" w:rsidRDefault="00B40ECC">
      <w:r>
        <w:t>- в формы федерального статистического наблюдения, обеспечивающие повышение объективности учета охвата детей дополнительными общеобразовательными программами.</w:t>
      </w:r>
    </w:p>
    <w:p w:rsidR="00B40ECC" w:rsidRDefault="00B40ECC">
      <w:bookmarkStart w:id="4" w:name="sub_3"/>
      <w:r>
        <w:t>2. Обеспечить включение инвестиционных проектов создания интерактивных музеев, многофункциональных культурно-образовательных центров дополнительного образования в перечень приоритетных инвестиционных проектов, утверждаемый Правительством РФ.</w:t>
      </w:r>
    </w:p>
    <w:p w:rsidR="00B40ECC" w:rsidRDefault="00B40ECC">
      <w:bookmarkStart w:id="5" w:name="sub_4"/>
      <w:bookmarkEnd w:id="4"/>
      <w:r>
        <w:t xml:space="preserve">3. Внести изменения в </w:t>
      </w:r>
      <w:hyperlink r:id="rId24" w:history="1">
        <w:r>
          <w:rPr>
            <w:rStyle w:val="a4"/>
            <w:rFonts w:cs="Arial"/>
          </w:rPr>
          <w:t>Государственную программу</w:t>
        </w:r>
      </w:hyperlink>
      <w:r>
        <w:t xml:space="preserve"> "Развитие образования на 2013-2020 годы", обеспечивающие реализацию основных положений Комплекса мер по реализации </w:t>
      </w:r>
      <w:hyperlink r:id="rId25" w:history="1">
        <w:r>
          <w:rPr>
            <w:rStyle w:val="a4"/>
            <w:rFonts w:cs="Arial"/>
          </w:rPr>
          <w:t>Концепции</w:t>
        </w:r>
      </w:hyperlink>
      <w:r>
        <w:t xml:space="preserve"> развития дополнительного образования, в том числе с учетом потребностей их финансового обеспечения.</w:t>
      </w:r>
    </w:p>
    <w:bookmarkEnd w:id="5"/>
    <w:p w:rsidR="00B40ECC" w:rsidRDefault="00B40ECC"/>
    <w:p w:rsidR="00B40ECC" w:rsidRDefault="00B40ECC">
      <w:pPr>
        <w:pStyle w:val="1"/>
      </w:pPr>
      <w:bookmarkStart w:id="6" w:name="sub_17"/>
      <w:r>
        <w:t>Министерству образования и науки Российской Федерации</w:t>
      </w:r>
    </w:p>
    <w:bookmarkEnd w:id="6"/>
    <w:p w:rsidR="00B40ECC" w:rsidRDefault="00B40ECC"/>
    <w:p w:rsidR="00B40ECC" w:rsidRDefault="00B40ECC">
      <w:bookmarkStart w:id="7" w:name="sub_6"/>
      <w:r>
        <w:t>1. Разработать порядок организации и осуществления образовательной деятельности по дополнительным общеобразовательным программам, который бы отражал особенности реализации всего многообразия дополнительных общеразвивающих программ и дополнительных предпрофессиональных программ.</w:t>
      </w:r>
    </w:p>
    <w:p w:rsidR="00B40ECC" w:rsidRDefault="00B40ECC">
      <w:bookmarkStart w:id="8" w:name="sub_7"/>
      <w:bookmarkEnd w:id="7"/>
      <w:r>
        <w:t>2. Разработать методические рекомендации для региональных органов управления образованием по разработке нормативов финансового обеспечения дополнительного образования детей в муниципальных общеобразовательных организациях посредством предоставления субвенций местным бюджетам, по расширению доступа негосударственных организаций к предоставлению услуг дополнительного образования детей.</w:t>
      </w:r>
    </w:p>
    <w:p w:rsidR="00B40ECC" w:rsidRDefault="00B40ECC">
      <w:bookmarkStart w:id="9" w:name="sub_8"/>
      <w:bookmarkEnd w:id="8"/>
      <w:r>
        <w:t xml:space="preserve">3. При формировании плана действий по реализации </w:t>
      </w:r>
      <w:hyperlink r:id="rId26" w:history="1">
        <w:r>
          <w:rPr>
            <w:rStyle w:val="a4"/>
            <w:rFonts w:cs="Arial"/>
          </w:rPr>
          <w:t>Концепции</w:t>
        </w:r>
      </w:hyperlink>
      <w:r>
        <w:t xml:space="preserve"> развития дополнительного образования детей предусмотреть мероприятия по развитию и поддержке негосударственного сектора дополнительного образования, разработать и направить в регионы соответствующие методические рекомендации.</w:t>
      </w:r>
    </w:p>
    <w:p w:rsidR="00B40ECC" w:rsidRDefault="00B40ECC">
      <w:bookmarkStart w:id="10" w:name="sub_9"/>
      <w:bookmarkEnd w:id="9"/>
      <w:r>
        <w:t>4. Разработать и реализовать систему управления и координации действий заинтересованных структур по реализации дополнительного образования.</w:t>
      </w:r>
    </w:p>
    <w:p w:rsidR="00B40ECC" w:rsidRDefault="00B40ECC">
      <w:bookmarkStart w:id="11" w:name="sub_10"/>
      <w:bookmarkEnd w:id="10"/>
      <w:r>
        <w:t>5. Инициировать создание банка программ дополнительного образования и технологий их реализации, обеспечив его общедоступность и бесплатность.</w:t>
      </w:r>
    </w:p>
    <w:p w:rsidR="00B40ECC" w:rsidRDefault="00B40ECC">
      <w:bookmarkStart w:id="12" w:name="sub_11"/>
      <w:bookmarkEnd w:id="11"/>
      <w:r>
        <w:t>6. Разработать механизм учета образовательных результатов, полученных в рамках дополнительного образования, при реализации основных общеобразовательных программ, разработать и направить в регионы соответствующие методические рекомендации.</w:t>
      </w:r>
    </w:p>
    <w:p w:rsidR="00B40ECC" w:rsidRDefault="00B40ECC">
      <w:bookmarkStart w:id="13" w:name="sub_12"/>
      <w:bookmarkEnd w:id="12"/>
      <w:r>
        <w:t xml:space="preserve">7. Проанализировать имеющийся в отдельных регионах опыт по использованию механизма финансирования услуг дополнительного образования посредством </w:t>
      </w:r>
      <w:r>
        <w:lastRenderedPageBreak/>
        <w:t>индивидуальных ваучеров, разработать и направить в регионы соответствующие методические рекомендации для его распространения.</w:t>
      </w:r>
    </w:p>
    <w:p w:rsidR="00B40ECC" w:rsidRDefault="00B40ECC">
      <w:bookmarkStart w:id="14" w:name="sub_13"/>
      <w:bookmarkEnd w:id="13"/>
      <w:r>
        <w:t>8. Разработать методические рекомендации, разъясняющие вопросы реализации сетевого взаимодействия, особенно в части учета достижений обучающихся и реализации механизмов финансирования этой деятельности.</w:t>
      </w:r>
    </w:p>
    <w:p w:rsidR="00B40ECC" w:rsidRDefault="00B40ECC">
      <w:bookmarkStart w:id="15" w:name="sub_14"/>
      <w:bookmarkEnd w:id="14"/>
      <w:r>
        <w:t>9. Ускорить разработку и утверждение базового (отраслевого) и расширения ведомственного перечня государственных (муниципальных) услуг в сфере образования по реализации дополнительных предпрофессиональных и общеразвивающих программ с учетом их разнообразия.</w:t>
      </w:r>
    </w:p>
    <w:p w:rsidR="00B40ECC" w:rsidRDefault="00B40ECC">
      <w:bookmarkStart w:id="16" w:name="sub_15"/>
      <w:bookmarkEnd w:id="15"/>
      <w:r>
        <w:t>10. Подготовить предложения с участием межведомственного совета по развитию дополнительного образования детей по включению в соответствующие базовые и ведомственные перечни услуг в сфере культуры, физической культуры и спорта, государственных (муниципальных) услуг по реализации соответствующих дополнительных предпрофессиональных и общеразвивающих программ с учетом их разнообразия.</w:t>
      </w:r>
    </w:p>
    <w:p w:rsidR="00B40ECC" w:rsidRDefault="00B40ECC">
      <w:bookmarkStart w:id="17" w:name="sub_16"/>
      <w:bookmarkEnd w:id="16"/>
      <w:r>
        <w:t>11. Разработать методические рекомендации по формированию муниципальных и государственных заданий для общеобразовательных организаций, включающих задания на реализацию программ дополнительного образования в условиях реализации ФГОС общего образования.</w:t>
      </w:r>
    </w:p>
    <w:bookmarkEnd w:id="17"/>
    <w:p w:rsidR="00B40ECC" w:rsidRDefault="00B40ECC"/>
    <w:p w:rsidR="00B40ECC" w:rsidRDefault="00B40ECC">
      <w:pPr>
        <w:pStyle w:val="1"/>
      </w:pPr>
      <w:bookmarkStart w:id="18" w:name="sub_18"/>
      <w:r>
        <w:t>Министерству образования и науки совместно с Министерством труда и социальной защиты Российской Федерации</w:t>
      </w:r>
    </w:p>
    <w:bookmarkEnd w:id="18"/>
    <w:p w:rsidR="00B40ECC" w:rsidRDefault="00B40ECC"/>
    <w:p w:rsidR="00B40ECC" w:rsidRDefault="00B40ECC">
      <w:r>
        <w:t>Доработать и утвердить профессиональный стандарт педагога дополнительного образования детей.</w:t>
      </w:r>
    </w:p>
    <w:p w:rsidR="00B40ECC" w:rsidRDefault="00B40ECC"/>
    <w:p w:rsidR="00B40ECC" w:rsidRDefault="00B40ECC">
      <w:pPr>
        <w:pStyle w:val="1"/>
      </w:pPr>
      <w:bookmarkStart w:id="19" w:name="sub_30"/>
      <w:r>
        <w:t>Органам государственной власти субъектов РФ</w:t>
      </w:r>
    </w:p>
    <w:bookmarkEnd w:id="19"/>
    <w:p w:rsidR="00B40ECC" w:rsidRDefault="00B40ECC"/>
    <w:p w:rsidR="00B40ECC" w:rsidRDefault="00B40ECC">
      <w:bookmarkStart w:id="20" w:name="sub_22"/>
      <w:r>
        <w:t>1. Совершенствовать организационно-экономические механизмы обеспечения доступности услуг дополнительного образования детей, создавать региональные межведомственные координационные органы по развитию системы дополнительного образования детей.</w:t>
      </w:r>
    </w:p>
    <w:p w:rsidR="00B40ECC" w:rsidRDefault="00B40ECC">
      <w:bookmarkStart w:id="21" w:name="sub_23"/>
      <w:bookmarkEnd w:id="20"/>
      <w:r>
        <w:t>2. Разработать региональные (муниципальные) программы (комплексы мер) по развитию дополнительного образования детей, реализующие положения Концепции развития дополнительного образования детей, внести изменения в государственные программы развития образования субъектов РФ, муниципальные программы развития, предусматривающие увеличение бюджетных ассигнований на реализацию мер по развитию дополнительного образования детей.</w:t>
      </w:r>
    </w:p>
    <w:p w:rsidR="00B40ECC" w:rsidRDefault="00B40ECC">
      <w:bookmarkStart w:id="22" w:name="sub_24"/>
      <w:bookmarkEnd w:id="21"/>
      <w:r>
        <w:t>3. Разработать программы кадрового обеспечения реализации программ дополнительного образования на 2015-2020 годы, предусматривающие в том числе меры по подготовке и переподготовке педагогических кадров для обеспечения реализации программ дополнительного образования детей; разработать комплекс мер по дополнительной социальной поддержке педагогов дополнительного образования - молодых специалистов.</w:t>
      </w:r>
    </w:p>
    <w:p w:rsidR="00B40ECC" w:rsidRDefault="00B40ECC">
      <w:bookmarkStart w:id="23" w:name="sub_25"/>
      <w:bookmarkEnd w:id="22"/>
      <w:r>
        <w:t>4. Разработать и обеспечить реализацию дополнительных общеобразовательных программ для детей особых категорий (с ограниченными возможностями здоровья, детей-инвалидов, детей, находящихся в трудной жизненной ситуации, детей-мигрантов), в том числе на основе грантовой поддержки.</w:t>
      </w:r>
    </w:p>
    <w:p w:rsidR="00B40ECC" w:rsidRDefault="00B40ECC">
      <w:bookmarkStart w:id="24" w:name="sub_26"/>
      <w:bookmarkEnd w:id="23"/>
      <w:r>
        <w:lastRenderedPageBreak/>
        <w:t>5. Создать открытые информационные сервисы по программам дополнительного образования для системы дополнительного образования, а также для потребителей услуг по реализации дополнительных общеобразовательных программ.</w:t>
      </w:r>
    </w:p>
    <w:p w:rsidR="00B40ECC" w:rsidRDefault="00B40ECC">
      <w:bookmarkStart w:id="25" w:name="sub_27"/>
      <w:bookmarkEnd w:id="24"/>
      <w:r>
        <w:t>6. В рамках региональных программ поддержки социально ориентированных некоммерческих организаций расширить практику поддержки организаций, реализующих образовательные и просветительские проекты для детей, оказывать грантовую поддержку негосударственным организациям, реализующим дополнительные общеобразовательные программы приоритетных региональных направлений деятельности.</w:t>
      </w:r>
    </w:p>
    <w:p w:rsidR="00B40ECC" w:rsidRDefault="00B40ECC">
      <w:bookmarkStart w:id="26" w:name="sub_28"/>
      <w:bookmarkEnd w:id="25"/>
      <w:r>
        <w:t>7. Реализовать меры, направленные на создание клубов по месту жительства, инфраструктуры для занятий физической культурой и спортом, создание развивающих сред и открытых пространств для различных форм активности детей и молодежи за счет совершенствования системы территориального планирования, строительства новых объектов, оптимизации управления имущественным комплексом.</w:t>
      </w:r>
    </w:p>
    <w:p w:rsidR="00B40ECC" w:rsidRDefault="00B40ECC">
      <w:bookmarkStart w:id="27" w:name="sub_29"/>
      <w:bookmarkEnd w:id="26"/>
      <w:r>
        <w:t>8. Разработать и обеспечить реализацию персонифицированных моделей финансирования образовательных услуг дополнительного образования с использованием информационного носителя (сертификата, социальной карты) или средствами информационной системы (портал государственных (муниципальных) услуг).</w:t>
      </w:r>
    </w:p>
    <w:bookmarkEnd w:id="27"/>
    <w:p w:rsidR="00B40ECC" w:rsidRDefault="00B40ECC"/>
    <w:p w:rsidR="00B40ECC" w:rsidRDefault="00B40ECC">
      <w:pPr>
        <w:pStyle w:val="1"/>
      </w:pPr>
      <w:bookmarkStart w:id="28" w:name="sub_31"/>
      <w:r>
        <w:t>Руководителям общеобразовательных организаций Российской Федерации</w:t>
      </w:r>
    </w:p>
    <w:bookmarkEnd w:id="28"/>
    <w:p w:rsidR="00B40ECC" w:rsidRDefault="00B40ECC"/>
    <w:p w:rsidR="00B40ECC" w:rsidRDefault="00B40ECC">
      <w:r>
        <w:t xml:space="preserve">Активно использовать предоставляемые </w:t>
      </w:r>
      <w:hyperlink r:id="rId27" w:history="1">
        <w:r>
          <w:rPr>
            <w:rStyle w:val="a4"/>
            <w:rFonts w:cs="Arial"/>
          </w:rPr>
          <w:t>Федеральным законом</w:t>
        </w:r>
      </w:hyperlink>
      <w:r>
        <w:t xml:space="preserve"> от 29.12.2012 N 273-ФЗ "Об образовании в Российской Федерации" возможности для распространения сетевых форм реализации образовательных программ в части дополнительного образования.</w:t>
      </w:r>
    </w:p>
    <w:p w:rsidR="00B40ECC" w:rsidRDefault="00B40ECC"/>
    <w:tbl>
      <w:tblPr>
        <w:tblW w:w="0" w:type="auto"/>
        <w:tblInd w:w="108" w:type="dxa"/>
        <w:tblLook w:val="0000" w:firstRow="0" w:lastRow="0" w:firstColumn="0" w:lastColumn="0" w:noHBand="0" w:noVBand="0"/>
      </w:tblPr>
      <w:tblGrid>
        <w:gridCol w:w="6666"/>
        <w:gridCol w:w="3333"/>
      </w:tblGrid>
      <w:tr w:rsidR="00B40ECC">
        <w:tblPrEx>
          <w:tblCellMar>
            <w:top w:w="0" w:type="dxa"/>
            <w:bottom w:w="0" w:type="dxa"/>
          </w:tblCellMar>
        </w:tblPrEx>
        <w:tc>
          <w:tcPr>
            <w:tcW w:w="6666" w:type="dxa"/>
            <w:tcBorders>
              <w:top w:val="nil"/>
              <w:left w:val="nil"/>
              <w:bottom w:val="nil"/>
              <w:right w:val="nil"/>
            </w:tcBorders>
          </w:tcPr>
          <w:p w:rsidR="00B40ECC" w:rsidRDefault="00B40ECC">
            <w:pPr>
              <w:pStyle w:val="afff1"/>
            </w:pPr>
            <w:r>
              <w:t>Председатель Комитета</w:t>
            </w:r>
          </w:p>
        </w:tc>
        <w:tc>
          <w:tcPr>
            <w:tcW w:w="3333" w:type="dxa"/>
            <w:tcBorders>
              <w:top w:val="nil"/>
              <w:left w:val="nil"/>
              <w:bottom w:val="nil"/>
              <w:right w:val="nil"/>
            </w:tcBorders>
          </w:tcPr>
          <w:p w:rsidR="00B40ECC" w:rsidRDefault="00B40ECC">
            <w:pPr>
              <w:pStyle w:val="aff8"/>
              <w:jc w:val="right"/>
            </w:pPr>
            <w:r>
              <w:t>В.А. Никонов</w:t>
            </w:r>
          </w:p>
        </w:tc>
      </w:tr>
    </w:tbl>
    <w:p w:rsidR="00B40ECC" w:rsidRDefault="00B40ECC"/>
    <w:p w:rsidR="00B40ECC" w:rsidRDefault="00B40ECC">
      <w:pPr>
        <w:pStyle w:val="afff1"/>
      </w:pPr>
      <w:r>
        <w:t>______________________________</w:t>
      </w:r>
    </w:p>
    <w:p w:rsidR="00B40ECC" w:rsidRDefault="00B40ECC">
      <w:bookmarkStart w:id="29" w:name="sub_32"/>
      <w:r>
        <w:t>*(1) См. Образование в Документах. - 2014. - N 12. - С. 50-74.</w:t>
      </w:r>
    </w:p>
    <w:p w:rsidR="00B40ECC" w:rsidRDefault="00B40ECC">
      <w:bookmarkStart w:id="30" w:name="sub_33"/>
      <w:bookmarkEnd w:id="29"/>
      <w:r>
        <w:t>*(2) См. Образование в Документах. - 2013. - N 1. - С. 3-254.</w:t>
      </w:r>
    </w:p>
    <w:p w:rsidR="00B40ECC" w:rsidRDefault="00B40ECC">
      <w:bookmarkStart w:id="31" w:name="sub_34"/>
      <w:bookmarkEnd w:id="30"/>
      <w:r>
        <w:t>*(3) См. Официальные документы в образовании. - 2012. - N 32. - С. 3-76.</w:t>
      </w:r>
    </w:p>
    <w:p w:rsidR="00B40ECC" w:rsidRDefault="00B40ECC">
      <w:bookmarkStart w:id="32" w:name="sub_35"/>
      <w:bookmarkEnd w:id="31"/>
      <w:r>
        <w:t>*(4) См. Официальные документы в образовании. - 2013. - N 1. - С. 6-37.</w:t>
      </w:r>
    </w:p>
    <w:p w:rsidR="00B40ECC" w:rsidRDefault="00B40ECC">
      <w:bookmarkStart w:id="33" w:name="sub_36"/>
      <w:bookmarkEnd w:id="32"/>
      <w:r>
        <w:t xml:space="preserve">*(5) </w:t>
      </w:r>
      <w:hyperlink r:id="rId28" w:history="1">
        <w:r>
          <w:rPr>
            <w:rStyle w:val="a4"/>
            <w:rFonts w:cs="Arial"/>
          </w:rPr>
          <w:t>Федеральный закон</w:t>
        </w:r>
      </w:hyperlink>
      <w:r>
        <w:t xml:space="preserve"> от 01.12.2014 N 384-ФЗ.</w:t>
      </w:r>
    </w:p>
    <w:p w:rsidR="00B40ECC" w:rsidRDefault="00B40ECC">
      <w:bookmarkStart w:id="34" w:name="sub_37"/>
      <w:bookmarkEnd w:id="33"/>
      <w:r>
        <w:t>*(6) См. Официальные документы в образовании. - 2012. - N 17. - С. 9-12.</w:t>
      </w:r>
    </w:p>
    <w:bookmarkEnd w:id="34"/>
    <w:p w:rsidR="007A0C5C" w:rsidRDefault="007A0C5C"/>
    <w:sectPr w:rsidR="007A0C5C">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4E"/>
    <w:rsid w:val="00017849"/>
    <w:rsid w:val="0048784E"/>
    <w:rsid w:val="006A654E"/>
    <w:rsid w:val="007A0C5C"/>
    <w:rsid w:val="00B40ECC"/>
    <w:rsid w:val="00C53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04DAED2-F734-457B-9A38-A0EC212D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F0F0F0"/>
    </w:rPr>
  </w:style>
  <w:style w:type="character" w:customStyle="1" w:styleId="ae">
    <w:name w:val="Заголовок Знак"/>
    <w:basedOn w:val="a0"/>
    <w:link w:val="ad"/>
    <w:uiPriority w:val="10"/>
    <w:rPr>
      <w:rFonts w:asciiTheme="majorHAnsi" w:eastAsiaTheme="majorEastAsia" w:hAnsiTheme="majorHAnsi" w:cstheme="majorBidi"/>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basedOn w:val="a3"/>
    <w:uiPriority w:val="99"/>
    <w:rPr>
      <w:rFonts w:cs="Times New Roman"/>
      <w:b w:val="0"/>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н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basedOn w:val="a3"/>
    <w:uiPriority w:val="99"/>
    <w:rPr>
      <w:rFonts w:cs="Times New Roman"/>
      <w:b w:val="0"/>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val="0"/>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basedOn w:val="a3"/>
    <w:uiPriority w:val="99"/>
    <w:rPr>
      <w:rFonts w:cs="Times New Roman"/>
      <w:b w:val="0"/>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86" TargetMode="External"/><Relationship Id="rId13" Type="http://schemas.openxmlformats.org/officeDocument/2006/relationships/hyperlink" Target="garantF1://70191362.10912" TargetMode="External"/><Relationship Id="rId18" Type="http://schemas.openxmlformats.org/officeDocument/2006/relationships/hyperlink" Target="garantF1://70070946.0" TargetMode="External"/><Relationship Id="rId26" Type="http://schemas.openxmlformats.org/officeDocument/2006/relationships/hyperlink" Target="garantF1://70633280.1000" TargetMode="External"/><Relationship Id="rId3" Type="http://schemas.openxmlformats.org/officeDocument/2006/relationships/webSettings" Target="webSettings.xml"/><Relationship Id="rId21" Type="http://schemas.openxmlformats.org/officeDocument/2006/relationships/hyperlink" Target="garantF1://70191362.109060" TargetMode="External"/><Relationship Id="rId7" Type="http://schemas.openxmlformats.org/officeDocument/2006/relationships/hyperlink" Target="garantF1://70191362.108870" TargetMode="External"/><Relationship Id="rId12" Type="http://schemas.openxmlformats.org/officeDocument/2006/relationships/hyperlink" Target="garantF1://70191362.10812" TargetMode="External"/><Relationship Id="rId17" Type="http://schemas.openxmlformats.org/officeDocument/2006/relationships/hyperlink" Target="garantF1://70651588.0" TargetMode="External"/><Relationship Id="rId25" Type="http://schemas.openxmlformats.org/officeDocument/2006/relationships/hyperlink" Target="garantF1://70633280.1000" TargetMode="External"/><Relationship Id="rId2" Type="http://schemas.openxmlformats.org/officeDocument/2006/relationships/settings" Target="settings.xml"/><Relationship Id="rId16" Type="http://schemas.openxmlformats.org/officeDocument/2006/relationships/hyperlink" Target="garantF1://70633280.1000" TargetMode="External"/><Relationship Id="rId20" Type="http://schemas.openxmlformats.org/officeDocument/2006/relationships/hyperlink" Target="garantF1://70633280.100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70191362.108166" TargetMode="External"/><Relationship Id="rId11" Type="http://schemas.openxmlformats.org/officeDocument/2006/relationships/hyperlink" Target="garantF1://70191362.10813" TargetMode="External"/><Relationship Id="rId24" Type="http://schemas.openxmlformats.org/officeDocument/2006/relationships/hyperlink" Target="garantF1://70543472.1000" TargetMode="External"/><Relationship Id="rId5" Type="http://schemas.openxmlformats.org/officeDocument/2006/relationships/hyperlink" Target="garantF1://70633280.1000" TargetMode="External"/><Relationship Id="rId15" Type="http://schemas.openxmlformats.org/officeDocument/2006/relationships/hyperlink" Target="garantF1://90157.4" TargetMode="External"/><Relationship Id="rId23" Type="http://schemas.openxmlformats.org/officeDocument/2006/relationships/hyperlink" Target="garantF1://70191362.1053" TargetMode="External"/><Relationship Id="rId28" Type="http://schemas.openxmlformats.org/officeDocument/2006/relationships/hyperlink" Target="garantF1://70710756.0" TargetMode="External"/><Relationship Id="rId10" Type="http://schemas.openxmlformats.org/officeDocument/2006/relationships/hyperlink" Target="garantF1://70191362.108190" TargetMode="External"/><Relationship Id="rId19" Type="http://schemas.openxmlformats.org/officeDocument/2006/relationships/hyperlink" Target="garantF1://70543472.1000" TargetMode="External"/><Relationship Id="rId4" Type="http://schemas.openxmlformats.org/officeDocument/2006/relationships/hyperlink" Target="garantF1://70633280.0" TargetMode="External"/><Relationship Id="rId9" Type="http://schemas.openxmlformats.org/officeDocument/2006/relationships/hyperlink" Target="garantF1://70191362.15" TargetMode="External"/><Relationship Id="rId14" Type="http://schemas.openxmlformats.org/officeDocument/2006/relationships/hyperlink" Target="garantF1://10005879.924" TargetMode="External"/><Relationship Id="rId22" Type="http://schemas.openxmlformats.org/officeDocument/2006/relationships/hyperlink" Target="garantF1://70191362.109054" TargetMode="External"/><Relationship Id="rId27" Type="http://schemas.openxmlformats.org/officeDocument/2006/relationships/hyperlink" Target="garantF1://70191362.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4838</Words>
  <Characters>27582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Светлана Сергеевна Исаенко</cp:lastModifiedBy>
  <cp:revision>2</cp:revision>
  <dcterms:created xsi:type="dcterms:W3CDTF">2019-03-05T13:15:00Z</dcterms:created>
  <dcterms:modified xsi:type="dcterms:W3CDTF">2019-03-05T13:15:00Z</dcterms:modified>
</cp:coreProperties>
</file>