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4B62" w:rsidRPr="00785F75" w:rsidRDefault="009D4B62" w:rsidP="00785F75">
      <w:pPr>
        <w:pStyle w:val="a3"/>
        <w:tabs>
          <w:tab w:val="left" w:pos="271"/>
          <w:tab w:val="left" w:pos="643"/>
        </w:tabs>
        <w:spacing w:line="276" w:lineRule="auto"/>
        <w:jc w:val="center"/>
        <w:rPr>
          <w:rFonts w:eastAsia="Arial Unicode MS"/>
          <w:b/>
          <w:bCs/>
          <w:sz w:val="28"/>
          <w:szCs w:val="28"/>
        </w:rPr>
      </w:pPr>
      <w:r w:rsidRPr="00785F75">
        <w:rPr>
          <w:rFonts w:eastAsia="Arial Unicode MS"/>
          <w:b/>
          <w:bCs/>
          <w:sz w:val="28"/>
          <w:szCs w:val="28"/>
        </w:rPr>
        <w:t>Тема: «</w:t>
      </w:r>
      <w:r w:rsidRPr="00785F75">
        <w:rPr>
          <w:rFonts w:eastAsia="Arial Unicode MS"/>
          <w:b/>
          <w:bCs/>
          <w:sz w:val="28"/>
          <w:szCs w:val="28"/>
        </w:rPr>
        <w:t>Классификация доходов бюджетов. Классификация расходов бюджетов</w:t>
      </w:r>
      <w:r w:rsidRPr="00785F75">
        <w:rPr>
          <w:rFonts w:eastAsia="Arial Unicode MS"/>
          <w:b/>
          <w:bCs/>
          <w:sz w:val="28"/>
          <w:szCs w:val="28"/>
        </w:rPr>
        <w:t>»</w:t>
      </w:r>
    </w:p>
    <w:p w:rsidR="0050269E" w:rsidRDefault="0050269E" w:rsidP="0050269E">
      <w:pPr>
        <w:pStyle w:val="a6"/>
        <w:spacing w:line="360" w:lineRule="auto"/>
        <w:ind w:firstLine="709"/>
        <w:jc w:val="both"/>
        <w:rPr>
          <w:rFonts w:ascii="Times New Roman" w:hAnsi="Times New Roman" w:cs="Times New Roman"/>
          <w:sz w:val="28"/>
          <w:szCs w:val="28"/>
        </w:rPr>
      </w:pPr>
    </w:p>
    <w:p w:rsidR="0050269E" w:rsidRDefault="00785F75" w:rsidP="00785F75">
      <w:pPr>
        <w:pStyle w:val="a6"/>
        <w:numPr>
          <w:ilvl w:val="0"/>
          <w:numId w:val="2"/>
        </w:numPr>
        <w:spacing w:line="360" w:lineRule="auto"/>
        <w:jc w:val="both"/>
        <w:rPr>
          <w:rFonts w:ascii="Times New Roman" w:hAnsi="Times New Roman" w:cs="Times New Roman"/>
          <w:b/>
          <w:bCs/>
          <w:sz w:val="28"/>
          <w:szCs w:val="28"/>
        </w:rPr>
      </w:pPr>
      <w:r w:rsidRPr="00785F75">
        <w:rPr>
          <w:rFonts w:ascii="Times New Roman" w:hAnsi="Times New Roman" w:cs="Times New Roman"/>
          <w:b/>
          <w:bCs/>
          <w:sz w:val="28"/>
          <w:szCs w:val="28"/>
        </w:rPr>
        <w:t>Классификация доходов бюджетов</w:t>
      </w:r>
    </w:p>
    <w:p w:rsidR="00785F75" w:rsidRPr="00785F75" w:rsidRDefault="00785F75" w:rsidP="00785F75">
      <w:pPr>
        <w:pStyle w:val="a6"/>
        <w:numPr>
          <w:ilvl w:val="0"/>
          <w:numId w:val="2"/>
        </w:numPr>
        <w:spacing w:line="360" w:lineRule="auto"/>
        <w:jc w:val="both"/>
        <w:rPr>
          <w:rFonts w:ascii="Times New Roman" w:eastAsia="Arial Unicode MS" w:hAnsi="Times New Roman" w:cs="Times New Roman"/>
          <w:b/>
          <w:bCs/>
          <w:sz w:val="28"/>
          <w:szCs w:val="28"/>
        </w:rPr>
      </w:pPr>
      <w:r w:rsidRPr="00785F75">
        <w:rPr>
          <w:rFonts w:ascii="Times New Roman" w:eastAsia="Arial Unicode MS" w:hAnsi="Times New Roman" w:cs="Times New Roman"/>
          <w:b/>
          <w:bCs/>
          <w:sz w:val="28"/>
          <w:szCs w:val="28"/>
        </w:rPr>
        <w:t>Классификация расходов бюджето</w:t>
      </w:r>
      <w:r w:rsidRPr="00785F75">
        <w:rPr>
          <w:rFonts w:ascii="Times New Roman" w:eastAsia="Arial Unicode MS" w:hAnsi="Times New Roman" w:cs="Times New Roman"/>
          <w:b/>
          <w:bCs/>
          <w:sz w:val="28"/>
          <w:szCs w:val="28"/>
        </w:rPr>
        <w:t>в</w:t>
      </w:r>
    </w:p>
    <w:p w:rsidR="00785F75" w:rsidRDefault="00785F75" w:rsidP="0050269E">
      <w:pPr>
        <w:pStyle w:val="a6"/>
        <w:spacing w:line="360" w:lineRule="auto"/>
        <w:ind w:firstLine="709"/>
        <w:jc w:val="both"/>
        <w:rPr>
          <w:rFonts w:eastAsia="Arial Unicode MS"/>
          <w:b/>
          <w:bCs/>
          <w:sz w:val="28"/>
          <w:szCs w:val="28"/>
        </w:rPr>
      </w:pPr>
    </w:p>
    <w:p w:rsidR="00785F75" w:rsidRDefault="00785F75" w:rsidP="00785F75">
      <w:pPr>
        <w:pStyle w:val="a6"/>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Задание</w:t>
      </w:r>
      <w:proofErr w:type="gramStart"/>
      <w:r>
        <w:rPr>
          <w:rFonts w:ascii="Times New Roman" w:hAnsi="Times New Roman" w:cs="Times New Roman"/>
          <w:b/>
          <w:bCs/>
          <w:sz w:val="28"/>
          <w:szCs w:val="28"/>
        </w:rPr>
        <w:t>: Закрепить</w:t>
      </w:r>
      <w:proofErr w:type="gramEnd"/>
      <w:r>
        <w:rPr>
          <w:rFonts w:ascii="Times New Roman" w:hAnsi="Times New Roman" w:cs="Times New Roman"/>
          <w:b/>
          <w:bCs/>
          <w:sz w:val="28"/>
          <w:szCs w:val="28"/>
        </w:rPr>
        <w:t xml:space="preserve"> теоретическую часть темы по приведенным вопросам. Схематично (выполнить две схемы) изобразить классификацию доходов и расходов бюджетов</w:t>
      </w:r>
      <w:r w:rsidR="00CF374F">
        <w:rPr>
          <w:rFonts w:ascii="Times New Roman" w:hAnsi="Times New Roman" w:cs="Times New Roman"/>
          <w:b/>
          <w:bCs/>
          <w:sz w:val="28"/>
          <w:szCs w:val="28"/>
        </w:rPr>
        <w:t>, опираясь на ст.20 и ст.21 Бюджетного кодекса РФ</w:t>
      </w:r>
      <w:r>
        <w:rPr>
          <w:rFonts w:ascii="Times New Roman" w:hAnsi="Times New Roman" w:cs="Times New Roman"/>
          <w:b/>
          <w:bCs/>
          <w:sz w:val="28"/>
          <w:szCs w:val="28"/>
        </w:rPr>
        <w:t>.</w:t>
      </w:r>
    </w:p>
    <w:p w:rsidR="00785F75" w:rsidRDefault="00785F75" w:rsidP="00785F75">
      <w:pPr>
        <w:pStyle w:val="a6"/>
        <w:spacing w:line="360" w:lineRule="auto"/>
        <w:jc w:val="both"/>
        <w:rPr>
          <w:rFonts w:ascii="Times New Roman" w:hAnsi="Times New Roman" w:cs="Times New Roman"/>
          <w:b/>
          <w:bCs/>
          <w:sz w:val="28"/>
          <w:szCs w:val="28"/>
        </w:rPr>
      </w:pPr>
    </w:p>
    <w:p w:rsidR="00785F75" w:rsidRDefault="00785F75" w:rsidP="00785F75">
      <w:pPr>
        <w:pStyle w:val="a6"/>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1.</w:t>
      </w:r>
      <w:r w:rsidRPr="00785F75">
        <w:rPr>
          <w:rFonts w:ascii="Times New Roman" w:hAnsi="Times New Roman" w:cs="Times New Roman"/>
          <w:b/>
          <w:bCs/>
          <w:sz w:val="28"/>
          <w:szCs w:val="28"/>
        </w:rPr>
        <w:t>Классификация доходов бюджетов</w:t>
      </w:r>
    </w:p>
    <w:p w:rsidR="00785F75" w:rsidRDefault="00785F75" w:rsidP="0050269E">
      <w:pPr>
        <w:pStyle w:val="a6"/>
        <w:spacing w:line="360" w:lineRule="auto"/>
        <w:ind w:firstLine="709"/>
        <w:jc w:val="both"/>
        <w:rPr>
          <w:rFonts w:eastAsia="Arial Unicode MS"/>
          <w:b/>
          <w:bCs/>
          <w:sz w:val="28"/>
          <w:szCs w:val="28"/>
        </w:rPr>
      </w:pPr>
    </w:p>
    <w:p w:rsidR="0050269E" w:rsidRPr="0050269E" w:rsidRDefault="0050269E" w:rsidP="0050269E">
      <w:pPr>
        <w:pStyle w:val="a6"/>
        <w:spacing w:line="360" w:lineRule="auto"/>
        <w:ind w:firstLine="709"/>
        <w:jc w:val="both"/>
        <w:rPr>
          <w:rFonts w:ascii="Times New Roman" w:hAnsi="Times New Roman" w:cs="Times New Roman"/>
          <w:sz w:val="28"/>
          <w:szCs w:val="28"/>
        </w:rPr>
      </w:pPr>
      <w:r w:rsidRPr="0050269E">
        <w:rPr>
          <w:rFonts w:ascii="Times New Roman" w:hAnsi="Times New Roman" w:cs="Times New Roman"/>
          <w:sz w:val="28"/>
          <w:szCs w:val="28"/>
        </w:rPr>
        <w:t>Согласно положениям ст. 20 БК РФ </w:t>
      </w:r>
      <w:r w:rsidRPr="0050269E">
        <w:rPr>
          <w:rStyle w:val="a5"/>
          <w:rFonts w:ascii="Times New Roman" w:hAnsi="Times New Roman" w:cs="Times New Roman"/>
          <w:color w:val="444444"/>
          <w:sz w:val="28"/>
          <w:szCs w:val="28"/>
        </w:rPr>
        <w:t>классификация доходов бюджетов РФ </w:t>
      </w:r>
      <w:r w:rsidRPr="0050269E">
        <w:rPr>
          <w:rFonts w:ascii="Times New Roman" w:hAnsi="Times New Roman" w:cs="Times New Roman"/>
          <w:sz w:val="28"/>
          <w:szCs w:val="28"/>
        </w:rPr>
        <w:t>– это группировка доходов бюджетов всех уровней бюджетной системы РФ, основанная на законодательных актах РФ, определяющих источники формирования доходов бюджетов всех уровней бюджетной системы РФ.</w:t>
      </w:r>
    </w:p>
    <w:p w:rsidR="0050269E" w:rsidRPr="0050269E" w:rsidRDefault="0050269E" w:rsidP="0050269E">
      <w:pPr>
        <w:pStyle w:val="a6"/>
        <w:spacing w:line="360" w:lineRule="auto"/>
        <w:ind w:firstLine="709"/>
        <w:jc w:val="both"/>
        <w:rPr>
          <w:rFonts w:ascii="Times New Roman" w:hAnsi="Times New Roman" w:cs="Times New Roman"/>
          <w:sz w:val="28"/>
          <w:szCs w:val="28"/>
        </w:rPr>
      </w:pPr>
      <w:r w:rsidRPr="0050269E">
        <w:rPr>
          <w:rStyle w:val="a5"/>
          <w:rFonts w:ascii="Times New Roman" w:hAnsi="Times New Roman" w:cs="Times New Roman"/>
          <w:color w:val="444444"/>
          <w:sz w:val="28"/>
          <w:szCs w:val="28"/>
        </w:rPr>
        <w:t>Классификация доходов бюджетов РФ </w:t>
      </w:r>
      <w:r w:rsidRPr="0050269E">
        <w:rPr>
          <w:rFonts w:ascii="Times New Roman" w:hAnsi="Times New Roman" w:cs="Times New Roman"/>
          <w:sz w:val="28"/>
          <w:szCs w:val="28"/>
        </w:rPr>
        <w:t>согласно положениям, закрепленным в ст. 20 БК РФ, включает в себя код администратора поступлений в бюджет, группы, подгруппы, статьи, подстатьи, элементы, программы (подпрограммы) и коды экономической классификации доходов.</w:t>
      </w:r>
    </w:p>
    <w:p w:rsidR="0050269E" w:rsidRPr="0050269E" w:rsidRDefault="0050269E" w:rsidP="0050269E">
      <w:pPr>
        <w:pStyle w:val="a6"/>
        <w:spacing w:line="360" w:lineRule="auto"/>
        <w:ind w:firstLine="709"/>
        <w:jc w:val="both"/>
        <w:rPr>
          <w:rFonts w:ascii="Times New Roman" w:hAnsi="Times New Roman" w:cs="Times New Roman"/>
          <w:sz w:val="28"/>
          <w:szCs w:val="28"/>
        </w:rPr>
      </w:pPr>
      <w:r w:rsidRPr="0050269E">
        <w:rPr>
          <w:rStyle w:val="a5"/>
          <w:rFonts w:ascii="Times New Roman" w:hAnsi="Times New Roman" w:cs="Times New Roman"/>
          <w:color w:val="444444"/>
          <w:sz w:val="28"/>
          <w:szCs w:val="28"/>
        </w:rPr>
        <w:t>Администраторами поступлений</w:t>
      </w:r>
      <w:r w:rsidR="00785F75">
        <w:rPr>
          <w:rStyle w:val="a5"/>
          <w:rFonts w:ascii="Times New Roman" w:hAnsi="Times New Roman" w:cs="Times New Roman"/>
          <w:color w:val="444444"/>
          <w:sz w:val="28"/>
          <w:szCs w:val="28"/>
        </w:rPr>
        <w:t xml:space="preserve"> </w:t>
      </w:r>
      <w:r w:rsidRPr="0050269E">
        <w:rPr>
          <w:rFonts w:ascii="Times New Roman" w:hAnsi="Times New Roman" w:cs="Times New Roman"/>
          <w:sz w:val="28"/>
          <w:szCs w:val="28"/>
        </w:rPr>
        <w:t>в бюджеты всех уровней являются:</w:t>
      </w:r>
    </w:p>
    <w:p w:rsidR="0050269E" w:rsidRPr="0050269E" w:rsidRDefault="0050269E" w:rsidP="0050269E">
      <w:pPr>
        <w:pStyle w:val="a6"/>
        <w:spacing w:line="360" w:lineRule="auto"/>
        <w:ind w:firstLine="709"/>
        <w:jc w:val="both"/>
        <w:rPr>
          <w:rFonts w:ascii="Times New Roman" w:hAnsi="Times New Roman" w:cs="Times New Roman"/>
          <w:sz w:val="28"/>
          <w:szCs w:val="28"/>
        </w:rPr>
      </w:pPr>
      <w:r w:rsidRPr="0050269E">
        <w:rPr>
          <w:rFonts w:ascii="Times New Roman" w:hAnsi="Times New Roman" w:cs="Times New Roman"/>
          <w:sz w:val="28"/>
          <w:szCs w:val="28"/>
        </w:rPr>
        <w:t>1) органы государственной власти;</w:t>
      </w:r>
    </w:p>
    <w:p w:rsidR="0050269E" w:rsidRPr="0050269E" w:rsidRDefault="0050269E" w:rsidP="0050269E">
      <w:pPr>
        <w:pStyle w:val="a6"/>
        <w:spacing w:line="360" w:lineRule="auto"/>
        <w:ind w:firstLine="709"/>
        <w:jc w:val="both"/>
        <w:rPr>
          <w:rFonts w:ascii="Times New Roman" w:hAnsi="Times New Roman" w:cs="Times New Roman"/>
          <w:sz w:val="28"/>
          <w:szCs w:val="28"/>
        </w:rPr>
      </w:pPr>
      <w:r w:rsidRPr="0050269E">
        <w:rPr>
          <w:rFonts w:ascii="Times New Roman" w:hAnsi="Times New Roman" w:cs="Times New Roman"/>
          <w:sz w:val="28"/>
          <w:szCs w:val="28"/>
        </w:rPr>
        <w:t>2) органы местного самоуправления;</w:t>
      </w:r>
    </w:p>
    <w:p w:rsidR="0050269E" w:rsidRPr="0050269E" w:rsidRDefault="0050269E" w:rsidP="0050269E">
      <w:pPr>
        <w:pStyle w:val="a6"/>
        <w:spacing w:line="360" w:lineRule="auto"/>
        <w:ind w:firstLine="709"/>
        <w:jc w:val="both"/>
        <w:rPr>
          <w:rFonts w:ascii="Times New Roman" w:hAnsi="Times New Roman" w:cs="Times New Roman"/>
          <w:sz w:val="28"/>
          <w:szCs w:val="28"/>
        </w:rPr>
      </w:pPr>
      <w:r w:rsidRPr="0050269E">
        <w:rPr>
          <w:rFonts w:ascii="Times New Roman" w:hAnsi="Times New Roman" w:cs="Times New Roman"/>
          <w:sz w:val="28"/>
          <w:szCs w:val="28"/>
        </w:rPr>
        <w:t>3) органы управления государственных внебюджетных фондов;</w:t>
      </w:r>
    </w:p>
    <w:p w:rsidR="0050269E" w:rsidRPr="0050269E" w:rsidRDefault="0050269E" w:rsidP="0050269E">
      <w:pPr>
        <w:pStyle w:val="a6"/>
        <w:spacing w:line="360" w:lineRule="auto"/>
        <w:ind w:firstLine="709"/>
        <w:jc w:val="both"/>
        <w:rPr>
          <w:rFonts w:ascii="Times New Roman" w:hAnsi="Times New Roman" w:cs="Times New Roman"/>
          <w:sz w:val="28"/>
          <w:szCs w:val="28"/>
        </w:rPr>
      </w:pPr>
      <w:r w:rsidRPr="0050269E">
        <w:rPr>
          <w:rFonts w:ascii="Times New Roman" w:hAnsi="Times New Roman" w:cs="Times New Roman"/>
          <w:sz w:val="28"/>
          <w:szCs w:val="28"/>
        </w:rPr>
        <w:t>4) Центральный банк РФ;</w:t>
      </w:r>
    </w:p>
    <w:p w:rsidR="0050269E" w:rsidRPr="0050269E" w:rsidRDefault="0050269E" w:rsidP="0050269E">
      <w:pPr>
        <w:pStyle w:val="a6"/>
        <w:spacing w:line="360" w:lineRule="auto"/>
        <w:ind w:firstLine="709"/>
        <w:jc w:val="both"/>
        <w:rPr>
          <w:rFonts w:ascii="Times New Roman" w:hAnsi="Times New Roman" w:cs="Times New Roman"/>
          <w:sz w:val="28"/>
          <w:szCs w:val="28"/>
        </w:rPr>
      </w:pPr>
      <w:r w:rsidRPr="0050269E">
        <w:rPr>
          <w:rFonts w:ascii="Times New Roman" w:hAnsi="Times New Roman" w:cs="Times New Roman"/>
          <w:sz w:val="28"/>
          <w:szCs w:val="28"/>
        </w:rPr>
        <w:t xml:space="preserve">5) бюджетные учреждения, созданные органами государственной власти и органами местного самоуправления, осуществляющими контроль за правильностью исчисления, полнотой и своевременностью уплаты, начисление, учет, взыскание и принятие решений о возврате (зачете) излишне </w:t>
      </w:r>
      <w:r w:rsidRPr="0050269E">
        <w:rPr>
          <w:rFonts w:ascii="Times New Roman" w:hAnsi="Times New Roman" w:cs="Times New Roman"/>
          <w:sz w:val="28"/>
          <w:szCs w:val="28"/>
        </w:rPr>
        <w:lastRenderedPageBreak/>
        <w:t>уплаченных (взысканных) платежей в бюджет, пеней и штрафов по ним (ст. 20 БК РФ).</w:t>
      </w:r>
    </w:p>
    <w:p w:rsidR="0050269E" w:rsidRPr="0050269E" w:rsidRDefault="0050269E" w:rsidP="0050269E">
      <w:pPr>
        <w:pStyle w:val="a6"/>
        <w:spacing w:line="360" w:lineRule="auto"/>
        <w:ind w:firstLine="709"/>
        <w:jc w:val="both"/>
        <w:rPr>
          <w:rFonts w:ascii="Times New Roman" w:hAnsi="Times New Roman" w:cs="Times New Roman"/>
          <w:sz w:val="28"/>
          <w:szCs w:val="28"/>
        </w:rPr>
      </w:pPr>
      <w:r w:rsidRPr="0050269E">
        <w:rPr>
          <w:rStyle w:val="a5"/>
          <w:rFonts w:ascii="Times New Roman" w:hAnsi="Times New Roman" w:cs="Times New Roman"/>
          <w:color w:val="444444"/>
          <w:sz w:val="28"/>
          <w:szCs w:val="28"/>
        </w:rPr>
        <w:t>Классификация доходов предусматривает следующие группы доходов в зависимости от их источников:</w:t>
      </w:r>
    </w:p>
    <w:p w:rsidR="0050269E" w:rsidRPr="0050269E" w:rsidRDefault="0050269E" w:rsidP="0050269E">
      <w:pPr>
        <w:pStyle w:val="a6"/>
        <w:spacing w:line="360" w:lineRule="auto"/>
        <w:ind w:firstLine="709"/>
        <w:jc w:val="both"/>
        <w:rPr>
          <w:rFonts w:ascii="Times New Roman" w:hAnsi="Times New Roman" w:cs="Times New Roman"/>
          <w:sz w:val="28"/>
          <w:szCs w:val="28"/>
        </w:rPr>
      </w:pPr>
      <w:r w:rsidRPr="0050269E">
        <w:rPr>
          <w:rFonts w:ascii="Times New Roman" w:hAnsi="Times New Roman" w:cs="Times New Roman"/>
          <w:sz w:val="28"/>
          <w:szCs w:val="28"/>
        </w:rPr>
        <w:t>1) налоговые доходы;</w:t>
      </w:r>
    </w:p>
    <w:p w:rsidR="0050269E" w:rsidRPr="0050269E" w:rsidRDefault="0050269E" w:rsidP="0050269E">
      <w:pPr>
        <w:pStyle w:val="a6"/>
        <w:spacing w:line="360" w:lineRule="auto"/>
        <w:ind w:firstLine="709"/>
        <w:jc w:val="both"/>
        <w:rPr>
          <w:rFonts w:ascii="Times New Roman" w:hAnsi="Times New Roman" w:cs="Times New Roman"/>
          <w:sz w:val="28"/>
          <w:szCs w:val="28"/>
        </w:rPr>
      </w:pPr>
      <w:r w:rsidRPr="0050269E">
        <w:rPr>
          <w:rFonts w:ascii="Times New Roman" w:hAnsi="Times New Roman" w:cs="Times New Roman"/>
          <w:sz w:val="28"/>
          <w:szCs w:val="28"/>
        </w:rPr>
        <w:t>2) неналоговые доходы;</w:t>
      </w:r>
    </w:p>
    <w:p w:rsidR="0050269E" w:rsidRPr="0050269E" w:rsidRDefault="0050269E" w:rsidP="0050269E">
      <w:pPr>
        <w:pStyle w:val="a6"/>
        <w:spacing w:line="360" w:lineRule="auto"/>
        <w:ind w:firstLine="709"/>
        <w:jc w:val="both"/>
        <w:rPr>
          <w:rFonts w:ascii="Times New Roman" w:hAnsi="Times New Roman" w:cs="Times New Roman"/>
          <w:sz w:val="28"/>
          <w:szCs w:val="28"/>
        </w:rPr>
      </w:pPr>
      <w:r w:rsidRPr="0050269E">
        <w:rPr>
          <w:rFonts w:ascii="Times New Roman" w:hAnsi="Times New Roman" w:cs="Times New Roman"/>
          <w:sz w:val="28"/>
          <w:szCs w:val="28"/>
        </w:rPr>
        <w:t>3) безвозмездные перечисления;</w:t>
      </w:r>
    </w:p>
    <w:p w:rsidR="0050269E" w:rsidRPr="0050269E" w:rsidRDefault="0050269E" w:rsidP="0050269E">
      <w:pPr>
        <w:pStyle w:val="a6"/>
        <w:spacing w:line="360" w:lineRule="auto"/>
        <w:ind w:firstLine="709"/>
        <w:jc w:val="both"/>
        <w:rPr>
          <w:rFonts w:ascii="Times New Roman" w:hAnsi="Times New Roman" w:cs="Times New Roman"/>
          <w:sz w:val="28"/>
          <w:szCs w:val="28"/>
        </w:rPr>
      </w:pPr>
      <w:r w:rsidRPr="0050269E">
        <w:rPr>
          <w:rFonts w:ascii="Times New Roman" w:hAnsi="Times New Roman" w:cs="Times New Roman"/>
          <w:sz w:val="28"/>
          <w:szCs w:val="28"/>
        </w:rPr>
        <w:t>4) доходы целевых бюджетных фондов; 5) доходы от предпринимательской и иной приносящей доход деятельности.</w:t>
      </w:r>
    </w:p>
    <w:p w:rsidR="0050269E" w:rsidRPr="0050269E" w:rsidRDefault="0050269E" w:rsidP="0050269E">
      <w:pPr>
        <w:pStyle w:val="a6"/>
        <w:spacing w:line="360" w:lineRule="auto"/>
        <w:ind w:firstLine="709"/>
        <w:jc w:val="both"/>
        <w:rPr>
          <w:rFonts w:ascii="Times New Roman" w:hAnsi="Times New Roman" w:cs="Times New Roman"/>
          <w:sz w:val="28"/>
          <w:szCs w:val="28"/>
        </w:rPr>
      </w:pPr>
      <w:r w:rsidRPr="0050269E">
        <w:rPr>
          <w:rStyle w:val="a5"/>
          <w:rFonts w:ascii="Times New Roman" w:hAnsi="Times New Roman" w:cs="Times New Roman"/>
          <w:color w:val="444444"/>
          <w:sz w:val="28"/>
          <w:szCs w:val="28"/>
        </w:rPr>
        <w:t>Группа налоговых доходов </w:t>
      </w:r>
      <w:r w:rsidRPr="0050269E">
        <w:rPr>
          <w:rFonts w:ascii="Times New Roman" w:hAnsi="Times New Roman" w:cs="Times New Roman"/>
          <w:sz w:val="28"/>
          <w:szCs w:val="28"/>
        </w:rPr>
        <w:t>включает в себя подгруппы по соответствующим видам налогов:</w:t>
      </w:r>
    </w:p>
    <w:p w:rsidR="0050269E" w:rsidRPr="0050269E" w:rsidRDefault="0050269E" w:rsidP="0050269E">
      <w:pPr>
        <w:pStyle w:val="a6"/>
        <w:spacing w:line="360" w:lineRule="auto"/>
        <w:ind w:firstLine="709"/>
        <w:jc w:val="both"/>
        <w:rPr>
          <w:rFonts w:ascii="Times New Roman" w:hAnsi="Times New Roman" w:cs="Times New Roman"/>
          <w:sz w:val="28"/>
          <w:szCs w:val="28"/>
        </w:rPr>
      </w:pPr>
      <w:r w:rsidRPr="0050269E">
        <w:rPr>
          <w:rFonts w:ascii="Times New Roman" w:hAnsi="Times New Roman" w:cs="Times New Roman"/>
          <w:sz w:val="28"/>
          <w:szCs w:val="28"/>
        </w:rPr>
        <w:t>1) налоги на прибыль;</w:t>
      </w:r>
    </w:p>
    <w:p w:rsidR="0050269E" w:rsidRPr="0050269E" w:rsidRDefault="0050269E" w:rsidP="0050269E">
      <w:pPr>
        <w:pStyle w:val="a6"/>
        <w:spacing w:line="360" w:lineRule="auto"/>
        <w:ind w:firstLine="709"/>
        <w:jc w:val="both"/>
        <w:rPr>
          <w:rFonts w:ascii="Times New Roman" w:hAnsi="Times New Roman" w:cs="Times New Roman"/>
          <w:sz w:val="28"/>
          <w:szCs w:val="28"/>
        </w:rPr>
      </w:pPr>
      <w:r w:rsidRPr="0050269E">
        <w:rPr>
          <w:rFonts w:ascii="Times New Roman" w:hAnsi="Times New Roman" w:cs="Times New Roman"/>
          <w:sz w:val="28"/>
          <w:szCs w:val="28"/>
        </w:rPr>
        <w:t>2) налоги на товары и услуги;</w:t>
      </w:r>
    </w:p>
    <w:p w:rsidR="0050269E" w:rsidRPr="0050269E" w:rsidRDefault="0050269E" w:rsidP="0050269E">
      <w:pPr>
        <w:pStyle w:val="a6"/>
        <w:spacing w:line="360" w:lineRule="auto"/>
        <w:ind w:firstLine="709"/>
        <w:jc w:val="both"/>
        <w:rPr>
          <w:rFonts w:ascii="Times New Roman" w:hAnsi="Times New Roman" w:cs="Times New Roman"/>
          <w:sz w:val="28"/>
          <w:szCs w:val="28"/>
        </w:rPr>
      </w:pPr>
      <w:r w:rsidRPr="0050269E">
        <w:rPr>
          <w:rFonts w:ascii="Times New Roman" w:hAnsi="Times New Roman" w:cs="Times New Roman"/>
          <w:sz w:val="28"/>
          <w:szCs w:val="28"/>
        </w:rPr>
        <w:t>3) лицензионные и регистрационные сборы;</w:t>
      </w:r>
    </w:p>
    <w:p w:rsidR="0050269E" w:rsidRPr="0050269E" w:rsidRDefault="0050269E" w:rsidP="0050269E">
      <w:pPr>
        <w:pStyle w:val="a6"/>
        <w:spacing w:line="360" w:lineRule="auto"/>
        <w:ind w:firstLine="709"/>
        <w:jc w:val="both"/>
        <w:rPr>
          <w:rFonts w:ascii="Times New Roman" w:hAnsi="Times New Roman" w:cs="Times New Roman"/>
          <w:sz w:val="28"/>
          <w:szCs w:val="28"/>
        </w:rPr>
      </w:pPr>
      <w:r w:rsidRPr="0050269E">
        <w:rPr>
          <w:rFonts w:ascii="Times New Roman" w:hAnsi="Times New Roman" w:cs="Times New Roman"/>
          <w:sz w:val="28"/>
          <w:szCs w:val="28"/>
        </w:rPr>
        <w:t>4) налоги на совокупный доход;</w:t>
      </w:r>
    </w:p>
    <w:p w:rsidR="0050269E" w:rsidRPr="0050269E" w:rsidRDefault="0050269E" w:rsidP="0050269E">
      <w:pPr>
        <w:pStyle w:val="a6"/>
        <w:spacing w:line="360" w:lineRule="auto"/>
        <w:ind w:firstLine="709"/>
        <w:jc w:val="both"/>
        <w:rPr>
          <w:rFonts w:ascii="Times New Roman" w:hAnsi="Times New Roman" w:cs="Times New Roman"/>
          <w:sz w:val="28"/>
          <w:szCs w:val="28"/>
        </w:rPr>
      </w:pPr>
      <w:r w:rsidRPr="0050269E">
        <w:rPr>
          <w:rFonts w:ascii="Times New Roman" w:hAnsi="Times New Roman" w:cs="Times New Roman"/>
          <w:sz w:val="28"/>
          <w:szCs w:val="28"/>
        </w:rPr>
        <w:t>5) налоги на имущество и т. д.</w:t>
      </w:r>
    </w:p>
    <w:p w:rsidR="0050269E" w:rsidRPr="0050269E" w:rsidRDefault="0050269E" w:rsidP="0050269E">
      <w:pPr>
        <w:pStyle w:val="a6"/>
        <w:spacing w:line="360" w:lineRule="auto"/>
        <w:ind w:firstLine="709"/>
        <w:jc w:val="both"/>
        <w:rPr>
          <w:rFonts w:ascii="Times New Roman" w:hAnsi="Times New Roman" w:cs="Times New Roman"/>
          <w:sz w:val="28"/>
          <w:szCs w:val="28"/>
        </w:rPr>
      </w:pPr>
      <w:r w:rsidRPr="0050269E">
        <w:rPr>
          <w:rFonts w:ascii="Times New Roman" w:hAnsi="Times New Roman" w:cs="Times New Roman"/>
          <w:sz w:val="28"/>
          <w:szCs w:val="28"/>
        </w:rPr>
        <w:t>В группу</w:t>
      </w:r>
      <w:r w:rsidR="00785F75">
        <w:rPr>
          <w:rFonts w:ascii="Times New Roman" w:hAnsi="Times New Roman" w:cs="Times New Roman"/>
          <w:sz w:val="28"/>
          <w:szCs w:val="28"/>
        </w:rPr>
        <w:t xml:space="preserve"> </w:t>
      </w:r>
      <w:r w:rsidRPr="0050269E">
        <w:rPr>
          <w:rStyle w:val="a5"/>
          <w:rFonts w:ascii="Times New Roman" w:hAnsi="Times New Roman" w:cs="Times New Roman"/>
          <w:color w:val="444444"/>
          <w:sz w:val="28"/>
          <w:szCs w:val="28"/>
        </w:rPr>
        <w:t>неналоговых доходов </w:t>
      </w:r>
      <w:r w:rsidRPr="0050269E">
        <w:rPr>
          <w:rFonts w:ascii="Times New Roman" w:hAnsi="Times New Roman" w:cs="Times New Roman"/>
          <w:sz w:val="28"/>
          <w:szCs w:val="28"/>
        </w:rPr>
        <w:t>включаются следующие подгруппы:</w:t>
      </w:r>
    </w:p>
    <w:p w:rsidR="0050269E" w:rsidRPr="0050269E" w:rsidRDefault="0050269E" w:rsidP="0050269E">
      <w:pPr>
        <w:pStyle w:val="a6"/>
        <w:spacing w:line="360" w:lineRule="auto"/>
        <w:ind w:firstLine="709"/>
        <w:jc w:val="both"/>
        <w:rPr>
          <w:rFonts w:ascii="Times New Roman" w:hAnsi="Times New Roman" w:cs="Times New Roman"/>
          <w:sz w:val="28"/>
          <w:szCs w:val="28"/>
        </w:rPr>
      </w:pPr>
      <w:r w:rsidRPr="0050269E">
        <w:rPr>
          <w:rFonts w:ascii="Times New Roman" w:hAnsi="Times New Roman" w:cs="Times New Roman"/>
          <w:sz w:val="28"/>
          <w:szCs w:val="28"/>
        </w:rPr>
        <w:t>1) доходы от имущества, находящегося в государственной и муниципальной собственности;</w:t>
      </w:r>
    </w:p>
    <w:p w:rsidR="0050269E" w:rsidRPr="0050269E" w:rsidRDefault="0050269E" w:rsidP="0050269E">
      <w:pPr>
        <w:pStyle w:val="a6"/>
        <w:spacing w:line="360" w:lineRule="auto"/>
        <w:ind w:firstLine="709"/>
        <w:jc w:val="both"/>
        <w:rPr>
          <w:rFonts w:ascii="Times New Roman" w:hAnsi="Times New Roman" w:cs="Times New Roman"/>
          <w:sz w:val="28"/>
          <w:szCs w:val="28"/>
        </w:rPr>
      </w:pPr>
      <w:r w:rsidRPr="0050269E">
        <w:rPr>
          <w:rFonts w:ascii="Times New Roman" w:hAnsi="Times New Roman" w:cs="Times New Roman"/>
          <w:sz w:val="28"/>
          <w:szCs w:val="28"/>
        </w:rPr>
        <w:t>2) доходы от продажи земли и нематериальных активов;</w:t>
      </w:r>
    </w:p>
    <w:p w:rsidR="0050269E" w:rsidRPr="0050269E" w:rsidRDefault="0050269E" w:rsidP="0050269E">
      <w:pPr>
        <w:pStyle w:val="a6"/>
        <w:spacing w:line="360" w:lineRule="auto"/>
        <w:ind w:firstLine="709"/>
        <w:jc w:val="both"/>
        <w:rPr>
          <w:rFonts w:ascii="Times New Roman" w:hAnsi="Times New Roman" w:cs="Times New Roman"/>
          <w:sz w:val="28"/>
          <w:szCs w:val="28"/>
        </w:rPr>
      </w:pPr>
      <w:r w:rsidRPr="0050269E">
        <w:rPr>
          <w:rFonts w:ascii="Times New Roman" w:hAnsi="Times New Roman" w:cs="Times New Roman"/>
          <w:sz w:val="28"/>
          <w:szCs w:val="28"/>
        </w:rPr>
        <w:t>3) административные платежи и сборы;</w:t>
      </w:r>
    </w:p>
    <w:p w:rsidR="0050269E" w:rsidRPr="0050269E" w:rsidRDefault="0050269E" w:rsidP="0050269E">
      <w:pPr>
        <w:pStyle w:val="a6"/>
        <w:spacing w:line="360" w:lineRule="auto"/>
        <w:ind w:firstLine="709"/>
        <w:jc w:val="both"/>
        <w:rPr>
          <w:rFonts w:ascii="Times New Roman" w:hAnsi="Times New Roman" w:cs="Times New Roman"/>
          <w:sz w:val="28"/>
          <w:szCs w:val="28"/>
        </w:rPr>
      </w:pPr>
      <w:r w:rsidRPr="0050269E">
        <w:rPr>
          <w:rFonts w:ascii="Times New Roman" w:hAnsi="Times New Roman" w:cs="Times New Roman"/>
          <w:sz w:val="28"/>
          <w:szCs w:val="28"/>
        </w:rPr>
        <w:t>4) штрафные санкции;</w:t>
      </w:r>
    </w:p>
    <w:p w:rsidR="0050269E" w:rsidRPr="0050269E" w:rsidRDefault="0050269E" w:rsidP="0050269E">
      <w:pPr>
        <w:pStyle w:val="a6"/>
        <w:spacing w:line="360" w:lineRule="auto"/>
        <w:ind w:firstLine="709"/>
        <w:jc w:val="both"/>
        <w:rPr>
          <w:rFonts w:ascii="Times New Roman" w:hAnsi="Times New Roman" w:cs="Times New Roman"/>
          <w:sz w:val="28"/>
          <w:szCs w:val="28"/>
        </w:rPr>
      </w:pPr>
      <w:r w:rsidRPr="0050269E">
        <w:rPr>
          <w:rFonts w:ascii="Times New Roman" w:hAnsi="Times New Roman" w:cs="Times New Roman"/>
          <w:sz w:val="28"/>
          <w:szCs w:val="28"/>
        </w:rPr>
        <w:t>5) возмещение ущерба и т. п.</w:t>
      </w:r>
    </w:p>
    <w:p w:rsidR="0050269E" w:rsidRPr="0050269E" w:rsidRDefault="0050269E" w:rsidP="0050269E">
      <w:pPr>
        <w:pStyle w:val="a6"/>
        <w:spacing w:line="360" w:lineRule="auto"/>
        <w:ind w:firstLine="709"/>
        <w:jc w:val="both"/>
        <w:rPr>
          <w:rFonts w:ascii="Times New Roman" w:hAnsi="Times New Roman" w:cs="Times New Roman"/>
          <w:sz w:val="28"/>
          <w:szCs w:val="28"/>
        </w:rPr>
      </w:pPr>
      <w:r w:rsidRPr="0050269E">
        <w:rPr>
          <w:rStyle w:val="a5"/>
          <w:rFonts w:ascii="Times New Roman" w:hAnsi="Times New Roman" w:cs="Times New Roman"/>
          <w:color w:val="444444"/>
          <w:sz w:val="28"/>
          <w:szCs w:val="28"/>
        </w:rPr>
        <w:t>Группа безвозмездных перечислений </w:t>
      </w:r>
      <w:r w:rsidRPr="0050269E">
        <w:rPr>
          <w:rFonts w:ascii="Times New Roman" w:hAnsi="Times New Roman" w:cs="Times New Roman"/>
          <w:sz w:val="28"/>
          <w:szCs w:val="28"/>
        </w:rPr>
        <w:t>подразделяется на подгруппы в зависимости от адресатов перечислений, группа доходов целевых бюджетных фондов делится на подгруппы в зависимости от целевого назначения фондов и т. д. Группы и подгруппы доходов состоят из статей доходов, в свою очередь статьи могут детализироваться до уровня подстатей.</w:t>
      </w:r>
    </w:p>
    <w:p w:rsidR="0050269E" w:rsidRPr="0050269E" w:rsidRDefault="0050269E" w:rsidP="0050269E">
      <w:pPr>
        <w:pStyle w:val="a6"/>
        <w:spacing w:line="360" w:lineRule="auto"/>
        <w:ind w:firstLine="709"/>
        <w:jc w:val="both"/>
        <w:rPr>
          <w:rFonts w:ascii="Times New Roman" w:hAnsi="Times New Roman" w:cs="Times New Roman"/>
          <w:sz w:val="28"/>
          <w:szCs w:val="28"/>
        </w:rPr>
      </w:pPr>
      <w:r w:rsidRPr="0050269E">
        <w:rPr>
          <w:rFonts w:ascii="Times New Roman" w:hAnsi="Times New Roman" w:cs="Times New Roman"/>
          <w:sz w:val="28"/>
          <w:szCs w:val="28"/>
        </w:rPr>
        <w:t xml:space="preserve">Каждой структурной единице бюджетной классификации, например: группам, подгруппам или статьям – присваивается соответствующий </w:t>
      </w:r>
      <w:r w:rsidRPr="0050269E">
        <w:rPr>
          <w:rFonts w:ascii="Times New Roman" w:hAnsi="Times New Roman" w:cs="Times New Roman"/>
          <w:sz w:val="28"/>
          <w:szCs w:val="28"/>
        </w:rPr>
        <w:lastRenderedPageBreak/>
        <w:t>уникальный код. Полный код соответствующего вида дохода бюджета содержит полную информацию об источнике поступления дохода, уровне бюджетной системы РФ – получателе данного дохода, а также об органе, являющемся администратором данного вида дохода.</w:t>
      </w:r>
    </w:p>
    <w:p w:rsidR="00B40E30" w:rsidRDefault="00B40E30"/>
    <w:p w:rsidR="00785F75" w:rsidRDefault="00785F75"/>
    <w:p w:rsidR="00785F75" w:rsidRDefault="00785F75" w:rsidP="00785F75">
      <w:pPr>
        <w:pStyle w:val="a6"/>
        <w:numPr>
          <w:ilvl w:val="0"/>
          <w:numId w:val="3"/>
        </w:numPr>
        <w:spacing w:line="360" w:lineRule="auto"/>
        <w:jc w:val="both"/>
        <w:rPr>
          <w:rFonts w:ascii="Times New Roman" w:eastAsia="Arial Unicode MS" w:hAnsi="Times New Roman" w:cs="Times New Roman"/>
          <w:b/>
          <w:bCs/>
          <w:sz w:val="28"/>
          <w:szCs w:val="28"/>
        </w:rPr>
      </w:pPr>
      <w:r w:rsidRPr="00785F75">
        <w:rPr>
          <w:rFonts w:ascii="Times New Roman" w:eastAsia="Arial Unicode MS" w:hAnsi="Times New Roman" w:cs="Times New Roman"/>
          <w:b/>
          <w:bCs/>
          <w:sz w:val="28"/>
          <w:szCs w:val="28"/>
        </w:rPr>
        <w:t>Классификация расходов бюджетов</w:t>
      </w:r>
    </w:p>
    <w:p w:rsidR="00785F75" w:rsidRPr="00785F75" w:rsidRDefault="00785F75" w:rsidP="00785F75">
      <w:pPr>
        <w:pStyle w:val="a6"/>
        <w:spacing w:line="360" w:lineRule="auto"/>
        <w:ind w:left="1429"/>
        <w:jc w:val="both"/>
        <w:rPr>
          <w:rFonts w:ascii="Times New Roman" w:eastAsia="Arial Unicode MS" w:hAnsi="Times New Roman" w:cs="Times New Roman"/>
          <w:b/>
          <w:bCs/>
          <w:sz w:val="28"/>
          <w:szCs w:val="28"/>
        </w:rPr>
      </w:pPr>
    </w:p>
    <w:p w:rsidR="00785F75" w:rsidRPr="00785F75" w:rsidRDefault="00785F75" w:rsidP="00785F75">
      <w:pPr>
        <w:pStyle w:val="a6"/>
        <w:spacing w:line="360" w:lineRule="auto"/>
        <w:ind w:firstLine="709"/>
        <w:jc w:val="both"/>
        <w:rPr>
          <w:rFonts w:ascii="Times New Roman" w:hAnsi="Times New Roman" w:cs="Times New Roman"/>
          <w:sz w:val="28"/>
          <w:szCs w:val="28"/>
        </w:rPr>
      </w:pPr>
      <w:r w:rsidRPr="00785F75">
        <w:rPr>
          <w:rStyle w:val="a5"/>
          <w:rFonts w:ascii="Times New Roman" w:hAnsi="Times New Roman" w:cs="Times New Roman"/>
          <w:color w:val="444444"/>
          <w:sz w:val="28"/>
          <w:szCs w:val="28"/>
        </w:rPr>
        <w:t>Функциональная классификация расходов бюджетов </w:t>
      </w:r>
      <w:r w:rsidRPr="00785F75">
        <w:rPr>
          <w:rFonts w:ascii="Times New Roman" w:hAnsi="Times New Roman" w:cs="Times New Roman"/>
          <w:sz w:val="28"/>
          <w:szCs w:val="28"/>
        </w:rPr>
        <w:t>– группировка расходов бюджетов всех уровней, отражающая направление бюджетных средств на выполнение основных функций государства. Под функциями государства понимают основные направления деятельности государства по решению стоящих перед ним задач, направление бюджетных средств на выполнение этих функций и отражает функциональная классификация расходов (ст. 21 БК РФ).</w:t>
      </w:r>
    </w:p>
    <w:p w:rsidR="00785F75" w:rsidRPr="00785F75" w:rsidRDefault="00785F75" w:rsidP="00785F75">
      <w:pPr>
        <w:pStyle w:val="a6"/>
        <w:spacing w:line="360" w:lineRule="auto"/>
        <w:ind w:firstLine="709"/>
        <w:jc w:val="both"/>
        <w:rPr>
          <w:rFonts w:ascii="Times New Roman" w:hAnsi="Times New Roman" w:cs="Times New Roman"/>
          <w:sz w:val="28"/>
          <w:szCs w:val="28"/>
        </w:rPr>
      </w:pPr>
      <w:r w:rsidRPr="00785F75">
        <w:rPr>
          <w:rStyle w:val="a5"/>
          <w:rFonts w:ascii="Times New Roman" w:hAnsi="Times New Roman" w:cs="Times New Roman"/>
          <w:color w:val="444444"/>
          <w:sz w:val="28"/>
          <w:szCs w:val="28"/>
        </w:rPr>
        <w:t>Функциональная классификация расходов бюджета имеет четыре уровня:</w:t>
      </w:r>
    </w:p>
    <w:p w:rsidR="00785F75" w:rsidRPr="00785F75" w:rsidRDefault="00785F75" w:rsidP="00785F75">
      <w:pPr>
        <w:pStyle w:val="a6"/>
        <w:spacing w:line="360" w:lineRule="auto"/>
        <w:ind w:firstLine="709"/>
        <w:jc w:val="both"/>
        <w:rPr>
          <w:rFonts w:ascii="Times New Roman" w:hAnsi="Times New Roman" w:cs="Times New Roman"/>
          <w:sz w:val="28"/>
          <w:szCs w:val="28"/>
        </w:rPr>
      </w:pPr>
      <w:r w:rsidRPr="00785F75">
        <w:rPr>
          <w:rFonts w:ascii="Times New Roman" w:hAnsi="Times New Roman" w:cs="Times New Roman"/>
          <w:sz w:val="28"/>
          <w:szCs w:val="28"/>
        </w:rPr>
        <w:t>1) разделы, определяющие расходование бюджетных средств на выполнение функций государства (государственное управление, судебная власть, оборона и т. п.);</w:t>
      </w:r>
    </w:p>
    <w:p w:rsidR="00785F75" w:rsidRPr="00785F75" w:rsidRDefault="00785F75" w:rsidP="00785F75">
      <w:pPr>
        <w:pStyle w:val="a6"/>
        <w:spacing w:line="360" w:lineRule="auto"/>
        <w:ind w:firstLine="709"/>
        <w:jc w:val="both"/>
        <w:rPr>
          <w:rFonts w:ascii="Times New Roman" w:hAnsi="Times New Roman" w:cs="Times New Roman"/>
          <w:sz w:val="28"/>
          <w:szCs w:val="28"/>
        </w:rPr>
      </w:pPr>
      <w:r w:rsidRPr="00785F75">
        <w:rPr>
          <w:rFonts w:ascii="Times New Roman" w:hAnsi="Times New Roman" w:cs="Times New Roman"/>
          <w:sz w:val="28"/>
          <w:szCs w:val="28"/>
        </w:rPr>
        <w:t>2) подразделы, конкретизирующие направление бюджетных средств на выполнение функций государства в пределах разделов (функционирование законодательных органов государственной власти, функционирование исполнительных органов государственной власти, деятельность финансовых и налоговых органов и т. п.);</w:t>
      </w:r>
    </w:p>
    <w:p w:rsidR="00785F75" w:rsidRPr="00785F75" w:rsidRDefault="00785F75" w:rsidP="00785F75">
      <w:pPr>
        <w:pStyle w:val="a6"/>
        <w:spacing w:line="360" w:lineRule="auto"/>
        <w:ind w:firstLine="709"/>
        <w:jc w:val="both"/>
        <w:rPr>
          <w:rFonts w:ascii="Times New Roman" w:hAnsi="Times New Roman" w:cs="Times New Roman"/>
          <w:sz w:val="28"/>
          <w:szCs w:val="28"/>
        </w:rPr>
      </w:pPr>
      <w:r w:rsidRPr="00785F75">
        <w:rPr>
          <w:rFonts w:ascii="Times New Roman" w:hAnsi="Times New Roman" w:cs="Times New Roman"/>
          <w:sz w:val="28"/>
          <w:szCs w:val="28"/>
        </w:rPr>
        <w:t xml:space="preserve">3) целевые статьи, отражающие финансирование расходов по конкретным направлениям деятельности главных распорядителей средств бюджета в пределах подразделов (обеспечение деятельности Президента РФ, обеспечение деятельности президента республики в составе РФ и главы </w:t>
      </w:r>
      <w:r w:rsidRPr="00785F75">
        <w:rPr>
          <w:rFonts w:ascii="Times New Roman" w:hAnsi="Times New Roman" w:cs="Times New Roman"/>
          <w:sz w:val="28"/>
          <w:szCs w:val="28"/>
        </w:rPr>
        <w:lastRenderedPageBreak/>
        <w:t>администрации субъекта РФ, содержание администрации Президента РФ и т. п.);</w:t>
      </w:r>
    </w:p>
    <w:p w:rsidR="00785F75" w:rsidRPr="00785F75" w:rsidRDefault="00785F75" w:rsidP="00785F75">
      <w:pPr>
        <w:pStyle w:val="a6"/>
        <w:spacing w:line="360" w:lineRule="auto"/>
        <w:ind w:firstLine="709"/>
        <w:jc w:val="both"/>
        <w:rPr>
          <w:rFonts w:ascii="Times New Roman" w:hAnsi="Times New Roman" w:cs="Times New Roman"/>
          <w:sz w:val="28"/>
          <w:szCs w:val="28"/>
        </w:rPr>
      </w:pPr>
      <w:r w:rsidRPr="00785F75">
        <w:rPr>
          <w:rFonts w:ascii="Times New Roman" w:hAnsi="Times New Roman" w:cs="Times New Roman"/>
          <w:sz w:val="28"/>
          <w:szCs w:val="28"/>
        </w:rPr>
        <w:t>4) виды расходов, детализирующие направления финансирования расходов бюджета по целевым статьям.</w:t>
      </w:r>
    </w:p>
    <w:p w:rsidR="00785F75" w:rsidRPr="00785F75" w:rsidRDefault="00785F75" w:rsidP="00785F75">
      <w:pPr>
        <w:pStyle w:val="a6"/>
        <w:spacing w:line="360" w:lineRule="auto"/>
        <w:ind w:firstLine="709"/>
        <w:jc w:val="both"/>
        <w:rPr>
          <w:rFonts w:ascii="Times New Roman" w:hAnsi="Times New Roman" w:cs="Times New Roman"/>
          <w:sz w:val="28"/>
          <w:szCs w:val="28"/>
        </w:rPr>
      </w:pPr>
      <w:r w:rsidRPr="00785F75">
        <w:rPr>
          <w:rStyle w:val="a5"/>
          <w:rFonts w:ascii="Times New Roman" w:hAnsi="Times New Roman" w:cs="Times New Roman"/>
          <w:color w:val="444444"/>
          <w:sz w:val="28"/>
          <w:szCs w:val="28"/>
        </w:rPr>
        <w:t>Экономическая классификация расходов</w:t>
      </w:r>
      <w:r>
        <w:rPr>
          <w:rFonts w:ascii="Times New Roman" w:hAnsi="Times New Roman" w:cs="Times New Roman"/>
          <w:sz w:val="28"/>
          <w:szCs w:val="28"/>
        </w:rPr>
        <w:t xml:space="preserve"> - </w:t>
      </w:r>
      <w:r w:rsidRPr="00785F75">
        <w:rPr>
          <w:rFonts w:ascii="Times New Roman" w:hAnsi="Times New Roman" w:cs="Times New Roman"/>
          <w:sz w:val="28"/>
          <w:szCs w:val="28"/>
        </w:rPr>
        <w:t>группировка всех уровней бюджетной системы по их экономическому содержанию. Данная классификация предполагает дифференциацию расходов по хозяйственным признакам или производственным элементам: капиталовложения, заработная плата, дотации, субсидии и пр. (ст. 22 БК РФ).</w:t>
      </w:r>
    </w:p>
    <w:p w:rsidR="00785F75" w:rsidRPr="00785F75" w:rsidRDefault="00785F75" w:rsidP="00785F75">
      <w:pPr>
        <w:pStyle w:val="a6"/>
        <w:spacing w:line="360" w:lineRule="auto"/>
        <w:ind w:firstLine="709"/>
        <w:jc w:val="both"/>
        <w:rPr>
          <w:rFonts w:ascii="Times New Roman" w:hAnsi="Times New Roman" w:cs="Times New Roman"/>
          <w:sz w:val="28"/>
          <w:szCs w:val="28"/>
        </w:rPr>
      </w:pPr>
      <w:r w:rsidRPr="00785F75">
        <w:rPr>
          <w:rFonts w:ascii="Times New Roman" w:hAnsi="Times New Roman" w:cs="Times New Roman"/>
          <w:sz w:val="28"/>
          <w:szCs w:val="28"/>
        </w:rPr>
        <w:t>Экономическая классификация состоит из 5 уровней: группа, подгруппа, предметная статья, подстатья, элемент расходов.</w:t>
      </w:r>
    </w:p>
    <w:p w:rsidR="00785F75" w:rsidRPr="00785F75" w:rsidRDefault="00785F75" w:rsidP="00785F75">
      <w:pPr>
        <w:pStyle w:val="a6"/>
        <w:spacing w:line="360" w:lineRule="auto"/>
        <w:ind w:firstLine="709"/>
        <w:jc w:val="both"/>
        <w:rPr>
          <w:rFonts w:ascii="Times New Roman" w:hAnsi="Times New Roman" w:cs="Times New Roman"/>
          <w:sz w:val="28"/>
          <w:szCs w:val="28"/>
        </w:rPr>
      </w:pPr>
      <w:r w:rsidRPr="00785F75">
        <w:rPr>
          <w:rStyle w:val="a5"/>
          <w:rFonts w:ascii="Times New Roman" w:hAnsi="Times New Roman" w:cs="Times New Roman"/>
          <w:color w:val="444444"/>
          <w:sz w:val="28"/>
          <w:szCs w:val="28"/>
        </w:rPr>
        <w:t>Ведомственная классификация расходов федерального бюджета </w:t>
      </w:r>
      <w:r w:rsidRPr="00785F75">
        <w:rPr>
          <w:rFonts w:ascii="Times New Roman" w:hAnsi="Times New Roman" w:cs="Times New Roman"/>
          <w:sz w:val="28"/>
          <w:szCs w:val="28"/>
        </w:rPr>
        <w:t>– группировка расходов, отражающая распределение бюджетных средств по главным распорядителям средств федерального бюджета (ст. 24 БК РФ). Перечень главных распорядителей средств федерального бюджета утверждается в структуре ведомственной классификации расходов федеральным законом о бюджете РФ на соответствующий год.</w:t>
      </w:r>
    </w:p>
    <w:p w:rsidR="00785F75" w:rsidRPr="00785F75" w:rsidRDefault="00785F75" w:rsidP="00785F75">
      <w:pPr>
        <w:pStyle w:val="a6"/>
        <w:spacing w:line="360" w:lineRule="auto"/>
        <w:ind w:firstLine="709"/>
        <w:jc w:val="both"/>
        <w:rPr>
          <w:rFonts w:ascii="Times New Roman" w:hAnsi="Times New Roman" w:cs="Times New Roman"/>
          <w:sz w:val="28"/>
          <w:szCs w:val="28"/>
        </w:rPr>
      </w:pPr>
      <w:r w:rsidRPr="00785F75">
        <w:rPr>
          <w:rStyle w:val="a5"/>
          <w:rFonts w:ascii="Times New Roman" w:hAnsi="Times New Roman" w:cs="Times New Roman"/>
          <w:color w:val="444444"/>
          <w:sz w:val="28"/>
          <w:szCs w:val="28"/>
        </w:rPr>
        <w:t>Ведомственная классификация расходов бюджетов субъектов РФ и муниципальных образований </w:t>
      </w:r>
      <w:r w:rsidRPr="00785F75">
        <w:rPr>
          <w:rFonts w:ascii="Times New Roman" w:hAnsi="Times New Roman" w:cs="Times New Roman"/>
          <w:sz w:val="28"/>
          <w:szCs w:val="28"/>
        </w:rPr>
        <w:t>– группировка расходов бюджетов субъектов РФ и муниципальных образований, отражающая распределение бюджетных ассигнований по главным распорядителям средств соответствующих бюджетов.</w:t>
      </w:r>
    </w:p>
    <w:p w:rsidR="00785F75" w:rsidRPr="00785F75" w:rsidRDefault="00785F75" w:rsidP="00785F75">
      <w:pPr>
        <w:pStyle w:val="a6"/>
        <w:spacing w:line="360" w:lineRule="auto"/>
        <w:ind w:firstLine="709"/>
        <w:jc w:val="both"/>
        <w:rPr>
          <w:rFonts w:ascii="Times New Roman" w:hAnsi="Times New Roman" w:cs="Times New Roman"/>
          <w:sz w:val="28"/>
          <w:szCs w:val="28"/>
        </w:rPr>
      </w:pPr>
      <w:r w:rsidRPr="00785F75">
        <w:rPr>
          <w:rFonts w:ascii="Times New Roman" w:hAnsi="Times New Roman" w:cs="Times New Roman"/>
          <w:sz w:val="28"/>
          <w:szCs w:val="28"/>
        </w:rPr>
        <w:t>Ведомственная структура расходов бюджетов субъекта РФ и местных бюджетов, устанавливающая расходы соответствующих бюджетов по главным распорядителям средств, разделам, подразделам, целевым статьям и видам расходов функциональной классификации, утверждается законом либо решением о соответствующем бюджете.</w:t>
      </w:r>
    </w:p>
    <w:p w:rsidR="00785F75" w:rsidRDefault="00785F75"/>
    <w:sectPr w:rsidR="00785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702E3"/>
    <w:multiLevelType w:val="hybridMultilevel"/>
    <w:tmpl w:val="8B0244EA"/>
    <w:lvl w:ilvl="0" w:tplc="B740B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B17FC7"/>
    <w:multiLevelType w:val="hybridMultilevel"/>
    <w:tmpl w:val="77F0D47A"/>
    <w:lvl w:ilvl="0" w:tplc="00447326">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6D0574"/>
    <w:multiLevelType w:val="hybridMultilevel"/>
    <w:tmpl w:val="6FF0A4B0"/>
    <w:lvl w:ilvl="0" w:tplc="0706BB7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62"/>
    <w:rsid w:val="0050269E"/>
    <w:rsid w:val="00785F75"/>
    <w:rsid w:val="009D4B62"/>
    <w:rsid w:val="00B40E30"/>
    <w:rsid w:val="00CF3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71AE"/>
  <w15:chartTrackingRefBased/>
  <w15:docId w15:val="{D7FC0393-32E6-4539-B850-C978A1C0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ВЕЛ таб/спис"/>
    <w:basedOn w:val="a"/>
    <w:link w:val="a4"/>
    <w:rsid w:val="009D4B62"/>
    <w:pPr>
      <w:spacing w:after="0" w:line="240" w:lineRule="auto"/>
    </w:pPr>
    <w:rPr>
      <w:rFonts w:ascii="Times New Roman" w:eastAsia="Times New Roman" w:hAnsi="Times New Roman" w:cs="Times New Roman"/>
      <w:sz w:val="24"/>
      <w:szCs w:val="24"/>
      <w:lang w:eastAsia="ru-RU"/>
    </w:rPr>
  </w:style>
  <w:style w:type="character" w:customStyle="1" w:styleId="a4">
    <w:name w:val="СВЕЛ таб/спис Знак"/>
    <w:link w:val="a3"/>
    <w:locked/>
    <w:rsid w:val="009D4B62"/>
    <w:rPr>
      <w:rFonts w:ascii="Times New Roman" w:eastAsia="Times New Roman" w:hAnsi="Times New Roman" w:cs="Times New Roman"/>
      <w:sz w:val="24"/>
      <w:szCs w:val="24"/>
      <w:lang w:eastAsia="ru-RU"/>
    </w:rPr>
  </w:style>
  <w:style w:type="paragraph" w:customStyle="1" w:styleId="p1">
    <w:name w:val="p1"/>
    <w:basedOn w:val="a"/>
    <w:rsid w:val="005026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0269E"/>
    <w:rPr>
      <w:b/>
      <w:bCs/>
    </w:rPr>
  </w:style>
  <w:style w:type="paragraph" w:styleId="a6">
    <w:name w:val="No Spacing"/>
    <w:uiPriority w:val="1"/>
    <w:qFormat/>
    <w:rsid w:val="005026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707467">
      <w:bodyDiv w:val="1"/>
      <w:marLeft w:val="0"/>
      <w:marRight w:val="0"/>
      <w:marTop w:val="0"/>
      <w:marBottom w:val="0"/>
      <w:divBdr>
        <w:top w:val="none" w:sz="0" w:space="0" w:color="auto"/>
        <w:left w:val="none" w:sz="0" w:space="0" w:color="auto"/>
        <w:bottom w:val="none" w:sz="0" w:space="0" w:color="auto"/>
        <w:right w:val="none" w:sz="0" w:space="0" w:color="auto"/>
      </w:divBdr>
    </w:div>
    <w:div w:id="1607155840">
      <w:bodyDiv w:val="1"/>
      <w:marLeft w:val="0"/>
      <w:marRight w:val="0"/>
      <w:marTop w:val="0"/>
      <w:marBottom w:val="0"/>
      <w:divBdr>
        <w:top w:val="none" w:sz="0" w:space="0" w:color="auto"/>
        <w:left w:val="none" w:sz="0" w:space="0" w:color="auto"/>
        <w:bottom w:val="none" w:sz="0" w:space="0" w:color="auto"/>
        <w:right w:val="none" w:sz="0" w:space="0" w:color="auto"/>
      </w:divBdr>
      <w:divsChild>
        <w:div w:id="772242671">
          <w:marLeft w:val="0"/>
          <w:marRight w:val="0"/>
          <w:marTop w:val="120"/>
          <w:marBottom w:val="0"/>
          <w:divBdr>
            <w:top w:val="none" w:sz="0" w:space="0" w:color="auto"/>
            <w:left w:val="none" w:sz="0" w:space="0" w:color="auto"/>
            <w:bottom w:val="none" w:sz="0" w:space="0" w:color="auto"/>
            <w:right w:val="none" w:sz="0" w:space="0" w:color="auto"/>
          </w:divBdr>
        </w:div>
        <w:div w:id="41297041">
          <w:marLeft w:val="0"/>
          <w:marRight w:val="0"/>
          <w:marTop w:val="120"/>
          <w:marBottom w:val="0"/>
          <w:divBdr>
            <w:top w:val="none" w:sz="0" w:space="0" w:color="auto"/>
            <w:left w:val="none" w:sz="0" w:space="0" w:color="auto"/>
            <w:bottom w:val="none" w:sz="0" w:space="0" w:color="auto"/>
            <w:right w:val="none" w:sz="0" w:space="0" w:color="auto"/>
          </w:divBdr>
        </w:div>
        <w:div w:id="1900478902">
          <w:marLeft w:val="0"/>
          <w:marRight w:val="0"/>
          <w:marTop w:val="120"/>
          <w:marBottom w:val="0"/>
          <w:divBdr>
            <w:top w:val="none" w:sz="0" w:space="0" w:color="auto"/>
            <w:left w:val="none" w:sz="0" w:space="0" w:color="auto"/>
            <w:bottom w:val="none" w:sz="0" w:space="0" w:color="auto"/>
            <w:right w:val="none" w:sz="0" w:space="0" w:color="auto"/>
          </w:divBdr>
        </w:div>
        <w:div w:id="756756726">
          <w:marLeft w:val="0"/>
          <w:marRight w:val="0"/>
          <w:marTop w:val="120"/>
          <w:marBottom w:val="0"/>
          <w:divBdr>
            <w:top w:val="none" w:sz="0" w:space="0" w:color="auto"/>
            <w:left w:val="none" w:sz="0" w:space="0" w:color="auto"/>
            <w:bottom w:val="none" w:sz="0" w:space="0" w:color="auto"/>
            <w:right w:val="none" w:sz="0" w:space="0" w:color="auto"/>
          </w:divBdr>
        </w:div>
        <w:div w:id="1784836652">
          <w:marLeft w:val="0"/>
          <w:marRight w:val="0"/>
          <w:marTop w:val="120"/>
          <w:marBottom w:val="0"/>
          <w:divBdr>
            <w:top w:val="none" w:sz="0" w:space="0" w:color="auto"/>
            <w:left w:val="none" w:sz="0" w:space="0" w:color="auto"/>
            <w:bottom w:val="none" w:sz="0" w:space="0" w:color="auto"/>
            <w:right w:val="none" w:sz="0" w:space="0" w:color="auto"/>
          </w:divBdr>
        </w:div>
        <w:div w:id="888734547">
          <w:marLeft w:val="0"/>
          <w:marRight w:val="0"/>
          <w:marTop w:val="120"/>
          <w:marBottom w:val="0"/>
          <w:divBdr>
            <w:top w:val="none" w:sz="0" w:space="0" w:color="auto"/>
            <w:left w:val="none" w:sz="0" w:space="0" w:color="auto"/>
            <w:bottom w:val="none" w:sz="0" w:space="0" w:color="auto"/>
            <w:right w:val="none" w:sz="0" w:space="0" w:color="auto"/>
          </w:divBdr>
        </w:div>
        <w:div w:id="578905985">
          <w:marLeft w:val="0"/>
          <w:marRight w:val="0"/>
          <w:marTop w:val="120"/>
          <w:marBottom w:val="0"/>
          <w:divBdr>
            <w:top w:val="none" w:sz="0" w:space="0" w:color="auto"/>
            <w:left w:val="none" w:sz="0" w:space="0" w:color="auto"/>
            <w:bottom w:val="none" w:sz="0" w:space="0" w:color="auto"/>
            <w:right w:val="none" w:sz="0" w:space="0" w:color="auto"/>
          </w:divBdr>
        </w:div>
        <w:div w:id="1850176713">
          <w:marLeft w:val="0"/>
          <w:marRight w:val="0"/>
          <w:marTop w:val="120"/>
          <w:marBottom w:val="0"/>
          <w:divBdr>
            <w:top w:val="none" w:sz="0" w:space="0" w:color="auto"/>
            <w:left w:val="none" w:sz="0" w:space="0" w:color="auto"/>
            <w:bottom w:val="none" w:sz="0" w:space="0" w:color="auto"/>
            <w:right w:val="none" w:sz="0" w:space="0" w:color="auto"/>
          </w:divBdr>
        </w:div>
        <w:div w:id="1885362183">
          <w:marLeft w:val="0"/>
          <w:marRight w:val="0"/>
          <w:marTop w:val="120"/>
          <w:marBottom w:val="0"/>
          <w:divBdr>
            <w:top w:val="none" w:sz="0" w:space="0" w:color="auto"/>
            <w:left w:val="none" w:sz="0" w:space="0" w:color="auto"/>
            <w:bottom w:val="none" w:sz="0" w:space="0" w:color="auto"/>
            <w:right w:val="none" w:sz="0" w:space="0" w:color="auto"/>
          </w:divBdr>
        </w:div>
        <w:div w:id="340163812">
          <w:marLeft w:val="0"/>
          <w:marRight w:val="0"/>
          <w:marTop w:val="120"/>
          <w:marBottom w:val="0"/>
          <w:divBdr>
            <w:top w:val="none" w:sz="0" w:space="0" w:color="auto"/>
            <w:left w:val="none" w:sz="0" w:space="0" w:color="auto"/>
            <w:bottom w:val="none" w:sz="0" w:space="0" w:color="auto"/>
            <w:right w:val="none" w:sz="0" w:space="0" w:color="auto"/>
          </w:divBdr>
        </w:div>
        <w:div w:id="1431007968">
          <w:marLeft w:val="0"/>
          <w:marRight w:val="0"/>
          <w:marTop w:val="120"/>
          <w:marBottom w:val="0"/>
          <w:divBdr>
            <w:top w:val="none" w:sz="0" w:space="0" w:color="auto"/>
            <w:left w:val="none" w:sz="0" w:space="0" w:color="auto"/>
            <w:bottom w:val="none" w:sz="0" w:space="0" w:color="auto"/>
            <w:right w:val="none" w:sz="0" w:space="0" w:color="auto"/>
          </w:divBdr>
        </w:div>
        <w:div w:id="538929695">
          <w:marLeft w:val="0"/>
          <w:marRight w:val="0"/>
          <w:marTop w:val="120"/>
          <w:marBottom w:val="0"/>
          <w:divBdr>
            <w:top w:val="none" w:sz="0" w:space="0" w:color="auto"/>
            <w:left w:val="none" w:sz="0" w:space="0" w:color="auto"/>
            <w:bottom w:val="none" w:sz="0" w:space="0" w:color="auto"/>
            <w:right w:val="none" w:sz="0" w:space="0" w:color="auto"/>
          </w:divBdr>
        </w:div>
        <w:div w:id="1193692765">
          <w:marLeft w:val="0"/>
          <w:marRight w:val="0"/>
          <w:marTop w:val="120"/>
          <w:marBottom w:val="0"/>
          <w:divBdr>
            <w:top w:val="none" w:sz="0" w:space="0" w:color="auto"/>
            <w:left w:val="none" w:sz="0" w:space="0" w:color="auto"/>
            <w:bottom w:val="none" w:sz="0" w:space="0" w:color="auto"/>
            <w:right w:val="none" w:sz="0" w:space="0" w:color="auto"/>
          </w:divBdr>
        </w:div>
        <w:div w:id="1626765265">
          <w:marLeft w:val="0"/>
          <w:marRight w:val="0"/>
          <w:marTop w:val="120"/>
          <w:marBottom w:val="0"/>
          <w:divBdr>
            <w:top w:val="none" w:sz="0" w:space="0" w:color="auto"/>
            <w:left w:val="none" w:sz="0" w:space="0" w:color="auto"/>
            <w:bottom w:val="none" w:sz="0" w:space="0" w:color="auto"/>
            <w:right w:val="none" w:sz="0" w:space="0" w:color="auto"/>
          </w:divBdr>
        </w:div>
        <w:div w:id="891620532">
          <w:marLeft w:val="0"/>
          <w:marRight w:val="0"/>
          <w:marTop w:val="120"/>
          <w:marBottom w:val="0"/>
          <w:divBdr>
            <w:top w:val="none" w:sz="0" w:space="0" w:color="auto"/>
            <w:left w:val="none" w:sz="0" w:space="0" w:color="auto"/>
            <w:bottom w:val="none" w:sz="0" w:space="0" w:color="auto"/>
            <w:right w:val="none" w:sz="0" w:space="0" w:color="auto"/>
          </w:divBdr>
        </w:div>
        <w:div w:id="1715305675">
          <w:marLeft w:val="0"/>
          <w:marRight w:val="0"/>
          <w:marTop w:val="120"/>
          <w:marBottom w:val="0"/>
          <w:divBdr>
            <w:top w:val="none" w:sz="0" w:space="0" w:color="auto"/>
            <w:left w:val="none" w:sz="0" w:space="0" w:color="auto"/>
            <w:bottom w:val="none" w:sz="0" w:space="0" w:color="auto"/>
            <w:right w:val="none" w:sz="0" w:space="0" w:color="auto"/>
          </w:divBdr>
        </w:div>
        <w:div w:id="570769789">
          <w:marLeft w:val="0"/>
          <w:marRight w:val="0"/>
          <w:marTop w:val="120"/>
          <w:marBottom w:val="0"/>
          <w:divBdr>
            <w:top w:val="none" w:sz="0" w:space="0" w:color="auto"/>
            <w:left w:val="none" w:sz="0" w:space="0" w:color="auto"/>
            <w:bottom w:val="none" w:sz="0" w:space="0" w:color="auto"/>
            <w:right w:val="none" w:sz="0" w:space="0" w:color="auto"/>
          </w:divBdr>
        </w:div>
        <w:div w:id="2076270181">
          <w:marLeft w:val="0"/>
          <w:marRight w:val="0"/>
          <w:marTop w:val="120"/>
          <w:marBottom w:val="0"/>
          <w:divBdr>
            <w:top w:val="none" w:sz="0" w:space="0" w:color="auto"/>
            <w:left w:val="none" w:sz="0" w:space="0" w:color="auto"/>
            <w:bottom w:val="none" w:sz="0" w:space="0" w:color="auto"/>
            <w:right w:val="none" w:sz="0" w:space="0" w:color="auto"/>
          </w:divBdr>
        </w:div>
        <w:div w:id="2085031255">
          <w:marLeft w:val="0"/>
          <w:marRight w:val="0"/>
          <w:marTop w:val="120"/>
          <w:marBottom w:val="0"/>
          <w:divBdr>
            <w:top w:val="none" w:sz="0" w:space="0" w:color="auto"/>
            <w:left w:val="none" w:sz="0" w:space="0" w:color="auto"/>
            <w:bottom w:val="none" w:sz="0" w:space="0" w:color="auto"/>
            <w:right w:val="none" w:sz="0" w:space="0" w:color="auto"/>
          </w:divBdr>
        </w:div>
        <w:div w:id="1181629253">
          <w:marLeft w:val="0"/>
          <w:marRight w:val="0"/>
          <w:marTop w:val="120"/>
          <w:marBottom w:val="0"/>
          <w:divBdr>
            <w:top w:val="none" w:sz="0" w:space="0" w:color="auto"/>
            <w:left w:val="none" w:sz="0" w:space="0" w:color="auto"/>
            <w:bottom w:val="none" w:sz="0" w:space="0" w:color="auto"/>
            <w:right w:val="none" w:sz="0" w:space="0" w:color="auto"/>
          </w:divBdr>
        </w:div>
        <w:div w:id="1912419490">
          <w:marLeft w:val="0"/>
          <w:marRight w:val="0"/>
          <w:marTop w:val="120"/>
          <w:marBottom w:val="0"/>
          <w:divBdr>
            <w:top w:val="none" w:sz="0" w:space="0" w:color="auto"/>
            <w:left w:val="none" w:sz="0" w:space="0" w:color="auto"/>
            <w:bottom w:val="none" w:sz="0" w:space="0" w:color="auto"/>
            <w:right w:val="none" w:sz="0" w:space="0" w:color="auto"/>
          </w:divBdr>
        </w:div>
        <w:div w:id="998462157">
          <w:marLeft w:val="0"/>
          <w:marRight w:val="0"/>
          <w:marTop w:val="120"/>
          <w:marBottom w:val="0"/>
          <w:divBdr>
            <w:top w:val="none" w:sz="0" w:space="0" w:color="auto"/>
            <w:left w:val="none" w:sz="0" w:space="0" w:color="auto"/>
            <w:bottom w:val="none" w:sz="0" w:space="0" w:color="auto"/>
            <w:right w:val="none" w:sz="0" w:space="0" w:color="auto"/>
          </w:divBdr>
        </w:div>
        <w:div w:id="494347498">
          <w:marLeft w:val="0"/>
          <w:marRight w:val="0"/>
          <w:marTop w:val="120"/>
          <w:marBottom w:val="0"/>
          <w:divBdr>
            <w:top w:val="none" w:sz="0" w:space="0" w:color="auto"/>
            <w:left w:val="none" w:sz="0" w:space="0" w:color="auto"/>
            <w:bottom w:val="none" w:sz="0" w:space="0" w:color="auto"/>
            <w:right w:val="none" w:sz="0" w:space="0" w:color="auto"/>
          </w:divBdr>
        </w:div>
        <w:div w:id="617642768">
          <w:marLeft w:val="0"/>
          <w:marRight w:val="0"/>
          <w:marTop w:val="120"/>
          <w:marBottom w:val="0"/>
          <w:divBdr>
            <w:top w:val="none" w:sz="0" w:space="0" w:color="auto"/>
            <w:left w:val="none" w:sz="0" w:space="0" w:color="auto"/>
            <w:bottom w:val="none" w:sz="0" w:space="0" w:color="auto"/>
            <w:right w:val="none" w:sz="0" w:space="0" w:color="auto"/>
          </w:divBdr>
        </w:div>
        <w:div w:id="1105615145">
          <w:marLeft w:val="0"/>
          <w:marRight w:val="0"/>
          <w:marTop w:val="120"/>
          <w:marBottom w:val="0"/>
          <w:divBdr>
            <w:top w:val="none" w:sz="0" w:space="0" w:color="auto"/>
            <w:left w:val="none" w:sz="0" w:space="0" w:color="auto"/>
            <w:bottom w:val="none" w:sz="0" w:space="0" w:color="auto"/>
            <w:right w:val="none" w:sz="0" w:space="0" w:color="auto"/>
          </w:divBdr>
        </w:div>
        <w:div w:id="398484976">
          <w:marLeft w:val="0"/>
          <w:marRight w:val="0"/>
          <w:marTop w:val="120"/>
          <w:marBottom w:val="0"/>
          <w:divBdr>
            <w:top w:val="none" w:sz="0" w:space="0" w:color="auto"/>
            <w:left w:val="none" w:sz="0" w:space="0" w:color="auto"/>
            <w:bottom w:val="none" w:sz="0" w:space="0" w:color="auto"/>
            <w:right w:val="none" w:sz="0" w:space="0" w:color="auto"/>
          </w:divBdr>
        </w:div>
        <w:div w:id="1017003677">
          <w:marLeft w:val="0"/>
          <w:marRight w:val="0"/>
          <w:marTop w:val="120"/>
          <w:marBottom w:val="0"/>
          <w:divBdr>
            <w:top w:val="none" w:sz="0" w:space="0" w:color="auto"/>
            <w:left w:val="none" w:sz="0" w:space="0" w:color="auto"/>
            <w:bottom w:val="none" w:sz="0" w:space="0" w:color="auto"/>
            <w:right w:val="none" w:sz="0" w:space="0" w:color="auto"/>
          </w:divBdr>
        </w:div>
        <w:div w:id="931815905">
          <w:marLeft w:val="0"/>
          <w:marRight w:val="0"/>
          <w:marTop w:val="120"/>
          <w:marBottom w:val="0"/>
          <w:divBdr>
            <w:top w:val="none" w:sz="0" w:space="0" w:color="auto"/>
            <w:left w:val="none" w:sz="0" w:space="0" w:color="auto"/>
            <w:bottom w:val="none" w:sz="0" w:space="0" w:color="auto"/>
            <w:right w:val="none" w:sz="0" w:space="0" w:color="auto"/>
          </w:divBdr>
        </w:div>
        <w:div w:id="338504885">
          <w:marLeft w:val="0"/>
          <w:marRight w:val="0"/>
          <w:marTop w:val="120"/>
          <w:marBottom w:val="0"/>
          <w:divBdr>
            <w:top w:val="none" w:sz="0" w:space="0" w:color="auto"/>
            <w:left w:val="none" w:sz="0" w:space="0" w:color="auto"/>
            <w:bottom w:val="none" w:sz="0" w:space="0" w:color="auto"/>
            <w:right w:val="none" w:sz="0" w:space="0" w:color="auto"/>
          </w:divBdr>
        </w:div>
        <w:div w:id="1084450006">
          <w:marLeft w:val="0"/>
          <w:marRight w:val="0"/>
          <w:marTop w:val="120"/>
          <w:marBottom w:val="0"/>
          <w:divBdr>
            <w:top w:val="none" w:sz="0" w:space="0" w:color="auto"/>
            <w:left w:val="none" w:sz="0" w:space="0" w:color="auto"/>
            <w:bottom w:val="none" w:sz="0" w:space="0" w:color="auto"/>
            <w:right w:val="none" w:sz="0" w:space="0" w:color="auto"/>
          </w:divBdr>
        </w:div>
        <w:div w:id="252859733">
          <w:marLeft w:val="0"/>
          <w:marRight w:val="0"/>
          <w:marTop w:val="120"/>
          <w:marBottom w:val="0"/>
          <w:divBdr>
            <w:top w:val="none" w:sz="0" w:space="0" w:color="auto"/>
            <w:left w:val="none" w:sz="0" w:space="0" w:color="auto"/>
            <w:bottom w:val="none" w:sz="0" w:space="0" w:color="auto"/>
            <w:right w:val="none" w:sz="0" w:space="0" w:color="auto"/>
          </w:divBdr>
        </w:div>
        <w:div w:id="1142816960">
          <w:marLeft w:val="0"/>
          <w:marRight w:val="0"/>
          <w:marTop w:val="120"/>
          <w:marBottom w:val="0"/>
          <w:divBdr>
            <w:top w:val="none" w:sz="0" w:space="0" w:color="auto"/>
            <w:left w:val="none" w:sz="0" w:space="0" w:color="auto"/>
            <w:bottom w:val="none" w:sz="0" w:space="0" w:color="auto"/>
            <w:right w:val="none" w:sz="0" w:space="0" w:color="auto"/>
          </w:divBdr>
        </w:div>
        <w:div w:id="1592930356">
          <w:marLeft w:val="0"/>
          <w:marRight w:val="0"/>
          <w:marTop w:val="120"/>
          <w:marBottom w:val="0"/>
          <w:divBdr>
            <w:top w:val="none" w:sz="0" w:space="0" w:color="auto"/>
            <w:left w:val="none" w:sz="0" w:space="0" w:color="auto"/>
            <w:bottom w:val="none" w:sz="0" w:space="0" w:color="auto"/>
            <w:right w:val="none" w:sz="0" w:space="0" w:color="auto"/>
          </w:divBdr>
        </w:div>
        <w:div w:id="1532108527">
          <w:marLeft w:val="0"/>
          <w:marRight w:val="0"/>
          <w:marTop w:val="120"/>
          <w:marBottom w:val="0"/>
          <w:divBdr>
            <w:top w:val="none" w:sz="0" w:space="0" w:color="auto"/>
            <w:left w:val="none" w:sz="0" w:space="0" w:color="auto"/>
            <w:bottom w:val="none" w:sz="0" w:space="0" w:color="auto"/>
            <w:right w:val="none" w:sz="0" w:space="0" w:color="auto"/>
          </w:divBdr>
        </w:div>
        <w:div w:id="1520655692">
          <w:marLeft w:val="0"/>
          <w:marRight w:val="0"/>
          <w:marTop w:val="120"/>
          <w:marBottom w:val="0"/>
          <w:divBdr>
            <w:top w:val="none" w:sz="0" w:space="0" w:color="auto"/>
            <w:left w:val="none" w:sz="0" w:space="0" w:color="auto"/>
            <w:bottom w:val="none" w:sz="0" w:space="0" w:color="auto"/>
            <w:right w:val="none" w:sz="0" w:space="0" w:color="auto"/>
          </w:divBdr>
        </w:div>
      </w:divsChild>
    </w:div>
    <w:div w:id="17430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863</Words>
  <Characters>4921</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Шабурова</dc:creator>
  <cp:keywords/>
  <dc:description/>
  <cp:lastModifiedBy>Наталья Шабурова</cp:lastModifiedBy>
  <cp:revision>4</cp:revision>
  <dcterms:created xsi:type="dcterms:W3CDTF">2020-04-15T03:27:00Z</dcterms:created>
  <dcterms:modified xsi:type="dcterms:W3CDTF">2020-04-15T03:38:00Z</dcterms:modified>
</cp:coreProperties>
</file>