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4D8" w:rsidRPr="005E44D8" w:rsidRDefault="005E44D8" w:rsidP="005E44D8">
      <w:pPr>
        <w:widowControl w:val="0"/>
        <w:spacing w:line="276" w:lineRule="auto"/>
        <w:ind w:firstLine="0"/>
        <w:jc w:val="center"/>
        <w:rPr>
          <w:rFonts w:eastAsia="Times New Roman" w:cs="Times New Roman"/>
          <w:b/>
          <w:caps/>
          <w:color w:val="000000"/>
          <w:sz w:val="32"/>
          <w:szCs w:val="28"/>
          <w:lang w:eastAsia="ru-RU"/>
        </w:rPr>
      </w:pPr>
      <w:r w:rsidRPr="005E44D8">
        <w:rPr>
          <w:rFonts w:eastAsia="Times New Roman" w:cs="Times New Roman"/>
          <w:b/>
          <w:caps/>
          <w:color w:val="000000"/>
          <w:sz w:val="32"/>
          <w:szCs w:val="28"/>
          <w:lang w:eastAsia="ru-RU"/>
        </w:rPr>
        <w:t>ПРИМЕРНый перечень ТЕМ</w:t>
      </w:r>
    </w:p>
    <w:p w:rsidR="005E44D8" w:rsidRPr="005E44D8" w:rsidRDefault="005E44D8" w:rsidP="005E44D8">
      <w:pPr>
        <w:widowControl w:val="0"/>
        <w:spacing w:line="276" w:lineRule="auto"/>
        <w:ind w:firstLine="0"/>
        <w:jc w:val="center"/>
        <w:rPr>
          <w:rFonts w:eastAsia="Times New Roman" w:cs="Times New Roman"/>
          <w:b/>
          <w:caps/>
          <w:color w:val="000000"/>
          <w:sz w:val="32"/>
          <w:szCs w:val="28"/>
          <w:lang w:eastAsia="ru-RU"/>
        </w:rPr>
      </w:pPr>
      <w:r w:rsidRPr="005E44D8">
        <w:rPr>
          <w:rFonts w:eastAsia="Times New Roman" w:cs="Times New Roman"/>
          <w:b/>
          <w:caps/>
          <w:color w:val="000000"/>
          <w:sz w:val="32"/>
          <w:szCs w:val="28"/>
          <w:lang w:eastAsia="ru-RU"/>
        </w:rPr>
        <w:t>выпускных квалификационных работ</w:t>
      </w:r>
    </w:p>
    <w:p w:rsidR="005E44D8" w:rsidRPr="005E44D8" w:rsidRDefault="005E44D8" w:rsidP="005E44D8">
      <w:pPr>
        <w:widowControl w:val="0"/>
        <w:spacing w:line="276" w:lineRule="auto"/>
        <w:ind w:firstLine="0"/>
        <w:jc w:val="center"/>
        <w:rPr>
          <w:rFonts w:eastAsia="Times New Roman" w:cs="Times New Roman"/>
          <w:b/>
          <w:color w:val="000000"/>
          <w:sz w:val="32"/>
          <w:szCs w:val="28"/>
          <w:lang w:eastAsia="ru-RU"/>
        </w:rPr>
      </w:pPr>
      <w:r w:rsidRPr="005E44D8">
        <w:rPr>
          <w:rFonts w:eastAsia="Times New Roman" w:cs="Times New Roman"/>
          <w:b/>
          <w:color w:val="000000"/>
          <w:sz w:val="32"/>
          <w:szCs w:val="28"/>
          <w:lang w:eastAsia="ru-RU"/>
        </w:rPr>
        <w:t xml:space="preserve">по направлению подготовки 38.04.01 «Экономика» </w:t>
      </w:r>
    </w:p>
    <w:p w:rsidR="007B7A93" w:rsidRPr="005E44D8" w:rsidRDefault="00416DC7" w:rsidP="005E44D8">
      <w:pPr>
        <w:widowControl w:val="0"/>
        <w:spacing w:line="276" w:lineRule="auto"/>
        <w:ind w:firstLine="0"/>
        <w:jc w:val="center"/>
        <w:rPr>
          <w:rFonts w:eastAsia="Times New Roman" w:cs="Times New Roman"/>
          <w:b/>
          <w:color w:val="000000"/>
          <w:sz w:val="32"/>
          <w:szCs w:val="28"/>
          <w:lang w:eastAsia="ru-RU"/>
        </w:rPr>
      </w:pPr>
      <w:r w:rsidRPr="005E44D8">
        <w:rPr>
          <w:rFonts w:eastAsia="Times New Roman" w:cs="Times New Roman"/>
          <w:b/>
          <w:color w:val="000000"/>
          <w:sz w:val="32"/>
          <w:szCs w:val="28"/>
          <w:lang w:eastAsia="ru-RU"/>
        </w:rPr>
        <w:t>направленность программы</w:t>
      </w:r>
      <w:r w:rsidR="003A2D4B" w:rsidRPr="005E44D8">
        <w:rPr>
          <w:rFonts w:eastAsia="Times New Roman" w:cs="Times New Roman"/>
          <w:b/>
          <w:color w:val="000000"/>
          <w:sz w:val="32"/>
          <w:szCs w:val="28"/>
          <w:lang w:eastAsia="ru-RU"/>
        </w:rPr>
        <w:t xml:space="preserve"> </w:t>
      </w:r>
      <w:r w:rsidR="005E44D8" w:rsidRPr="005E44D8">
        <w:rPr>
          <w:rFonts w:eastAsia="Times New Roman" w:cs="Times New Roman"/>
          <w:b/>
          <w:color w:val="000000"/>
          <w:sz w:val="32"/>
          <w:szCs w:val="28"/>
          <w:lang w:eastAsia="ru-RU"/>
        </w:rPr>
        <w:t>магистратуры</w:t>
      </w:r>
    </w:p>
    <w:p w:rsidR="003A2D4B" w:rsidRPr="005E44D8" w:rsidRDefault="003A2D4B" w:rsidP="005E44D8">
      <w:pPr>
        <w:widowControl w:val="0"/>
        <w:spacing w:line="276" w:lineRule="auto"/>
        <w:ind w:firstLine="0"/>
        <w:jc w:val="center"/>
        <w:rPr>
          <w:rFonts w:eastAsia="Times New Roman" w:cs="Times New Roman"/>
          <w:b/>
          <w:color w:val="000000"/>
          <w:sz w:val="32"/>
          <w:szCs w:val="28"/>
          <w:lang w:eastAsia="ru-RU"/>
        </w:rPr>
      </w:pPr>
      <w:r w:rsidRPr="005E44D8">
        <w:rPr>
          <w:rFonts w:eastAsia="Times New Roman" w:cs="Times New Roman"/>
          <w:b/>
          <w:color w:val="000000"/>
          <w:sz w:val="32"/>
          <w:szCs w:val="28"/>
          <w:lang w:eastAsia="ru-RU"/>
        </w:rPr>
        <w:t>«</w:t>
      </w:r>
      <w:r w:rsidR="00B20265" w:rsidRPr="005E44D8">
        <w:rPr>
          <w:rFonts w:eastAsia="Times New Roman" w:cs="Times New Roman"/>
          <w:b/>
          <w:color w:val="000000"/>
          <w:sz w:val="32"/>
          <w:szCs w:val="28"/>
          <w:lang w:eastAsia="ru-RU"/>
        </w:rPr>
        <w:t>Оценка бизнеса и к</w:t>
      </w:r>
      <w:r w:rsidR="00C24133" w:rsidRPr="005E44D8">
        <w:rPr>
          <w:rFonts w:eastAsia="Times New Roman" w:cs="Times New Roman"/>
          <w:b/>
          <w:color w:val="000000"/>
          <w:sz w:val="32"/>
          <w:szCs w:val="28"/>
          <w:lang w:eastAsia="ru-RU"/>
        </w:rPr>
        <w:t>орпоративные финансы</w:t>
      </w:r>
      <w:r w:rsidRPr="005E44D8">
        <w:rPr>
          <w:rFonts w:eastAsia="Times New Roman" w:cs="Times New Roman"/>
          <w:b/>
          <w:color w:val="000000"/>
          <w:sz w:val="32"/>
          <w:szCs w:val="28"/>
          <w:lang w:eastAsia="ru-RU"/>
        </w:rPr>
        <w:t>»</w:t>
      </w:r>
    </w:p>
    <w:p w:rsidR="00993E22" w:rsidRPr="00416DC7" w:rsidRDefault="00993E22" w:rsidP="00867305">
      <w:pPr>
        <w:spacing w:line="276" w:lineRule="auto"/>
        <w:ind w:left="360" w:firstLine="0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993E22" w:rsidRPr="007B7A93" w:rsidRDefault="00993E22" w:rsidP="00B20265">
      <w:pPr>
        <w:spacing w:line="276" w:lineRule="auto"/>
        <w:ind w:firstLine="0"/>
        <w:jc w:val="center"/>
        <w:rPr>
          <w:rFonts w:eastAsia="Times New Roman" w:cs="Times New Roman"/>
          <w:b/>
          <w:color w:val="000000"/>
          <w:sz w:val="18"/>
          <w:szCs w:val="28"/>
          <w:lang w:eastAsia="ru-RU"/>
        </w:rPr>
      </w:pPr>
    </w:p>
    <w:tbl>
      <w:tblPr>
        <w:tblStyle w:val="4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"/>
        <w:gridCol w:w="8715"/>
      </w:tblGrid>
      <w:tr w:rsidR="00503A17" w:rsidRPr="00503A17" w:rsidTr="00503A17">
        <w:trPr>
          <w:trHeight w:val="263"/>
        </w:trPr>
        <w:tc>
          <w:tcPr>
            <w:tcW w:w="499" w:type="dxa"/>
          </w:tcPr>
          <w:p w:rsidR="00503A17" w:rsidRPr="00503A17" w:rsidRDefault="00503A17" w:rsidP="00B2026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left"/>
              <w:rPr>
                <w:sz w:val="26"/>
                <w:szCs w:val="26"/>
              </w:rPr>
            </w:pPr>
          </w:p>
        </w:tc>
        <w:tc>
          <w:tcPr>
            <w:tcW w:w="8715" w:type="dxa"/>
          </w:tcPr>
          <w:p w:rsidR="00503A17" w:rsidRPr="00503A17" w:rsidRDefault="00503A17" w:rsidP="007B7A93">
            <w:pPr>
              <w:spacing w:after="200" w:line="240" w:lineRule="auto"/>
              <w:ind w:firstLine="0"/>
              <w:rPr>
                <w:sz w:val="26"/>
                <w:szCs w:val="26"/>
              </w:rPr>
            </w:pPr>
            <w:r w:rsidRPr="00503A17">
              <w:rPr>
                <w:sz w:val="26"/>
                <w:szCs w:val="26"/>
              </w:rPr>
              <w:t>Венчурное финансирование как источник финансирования инвестиций</w:t>
            </w:r>
          </w:p>
        </w:tc>
      </w:tr>
      <w:tr w:rsidR="00503A17" w:rsidRPr="00503A17" w:rsidTr="00503A17">
        <w:trPr>
          <w:trHeight w:val="263"/>
        </w:trPr>
        <w:tc>
          <w:tcPr>
            <w:tcW w:w="499" w:type="dxa"/>
          </w:tcPr>
          <w:p w:rsidR="00503A17" w:rsidRPr="00503A17" w:rsidRDefault="00503A17" w:rsidP="00B2026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left"/>
              <w:rPr>
                <w:sz w:val="26"/>
                <w:szCs w:val="26"/>
              </w:rPr>
            </w:pPr>
          </w:p>
        </w:tc>
        <w:tc>
          <w:tcPr>
            <w:tcW w:w="8715" w:type="dxa"/>
          </w:tcPr>
          <w:p w:rsidR="00503A17" w:rsidRPr="00503A17" w:rsidRDefault="00503A17" w:rsidP="007B7A93">
            <w:pPr>
              <w:spacing w:after="200" w:line="240" w:lineRule="auto"/>
              <w:ind w:firstLine="0"/>
              <w:rPr>
                <w:sz w:val="26"/>
                <w:szCs w:val="26"/>
              </w:rPr>
            </w:pPr>
            <w:r w:rsidRPr="00503A17">
              <w:rPr>
                <w:sz w:val="26"/>
                <w:szCs w:val="26"/>
              </w:rPr>
              <w:t>Денежные потоки компании и пути их оптимизации</w:t>
            </w:r>
          </w:p>
        </w:tc>
      </w:tr>
      <w:tr w:rsidR="00503A17" w:rsidRPr="00503A17" w:rsidTr="00503A17">
        <w:trPr>
          <w:trHeight w:val="263"/>
        </w:trPr>
        <w:tc>
          <w:tcPr>
            <w:tcW w:w="499" w:type="dxa"/>
          </w:tcPr>
          <w:p w:rsidR="00503A17" w:rsidRPr="00503A17" w:rsidRDefault="00503A17" w:rsidP="00B2026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left"/>
              <w:rPr>
                <w:sz w:val="26"/>
                <w:szCs w:val="26"/>
              </w:rPr>
            </w:pPr>
          </w:p>
        </w:tc>
        <w:tc>
          <w:tcPr>
            <w:tcW w:w="8715" w:type="dxa"/>
          </w:tcPr>
          <w:p w:rsidR="00503A17" w:rsidRPr="00503A17" w:rsidRDefault="00503A17" w:rsidP="007B7A93">
            <w:pPr>
              <w:spacing w:after="200" w:line="240" w:lineRule="auto"/>
              <w:ind w:firstLine="0"/>
              <w:rPr>
                <w:sz w:val="26"/>
                <w:szCs w:val="26"/>
              </w:rPr>
            </w:pPr>
            <w:r w:rsidRPr="00503A17">
              <w:rPr>
                <w:sz w:val="26"/>
                <w:szCs w:val="26"/>
              </w:rPr>
              <w:t>Дивидендная политика как способ управления стоимостью компании</w:t>
            </w:r>
          </w:p>
        </w:tc>
      </w:tr>
      <w:tr w:rsidR="00503A17" w:rsidRPr="00503A17" w:rsidTr="00503A17">
        <w:trPr>
          <w:trHeight w:val="263"/>
        </w:trPr>
        <w:tc>
          <w:tcPr>
            <w:tcW w:w="499" w:type="dxa"/>
          </w:tcPr>
          <w:p w:rsidR="00503A17" w:rsidRPr="00503A17" w:rsidRDefault="00503A17" w:rsidP="00B2026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left"/>
              <w:rPr>
                <w:sz w:val="26"/>
                <w:szCs w:val="26"/>
              </w:rPr>
            </w:pPr>
          </w:p>
        </w:tc>
        <w:tc>
          <w:tcPr>
            <w:tcW w:w="8715" w:type="dxa"/>
          </w:tcPr>
          <w:p w:rsidR="00503A17" w:rsidRPr="00503A17" w:rsidRDefault="00503A17" w:rsidP="007B7A93">
            <w:pPr>
              <w:spacing w:after="200" w:line="240" w:lineRule="auto"/>
              <w:ind w:firstLine="0"/>
              <w:rPr>
                <w:sz w:val="26"/>
                <w:szCs w:val="26"/>
              </w:rPr>
            </w:pPr>
            <w:r w:rsidRPr="00503A17">
              <w:rPr>
                <w:sz w:val="26"/>
                <w:szCs w:val="26"/>
              </w:rPr>
              <w:t>Инвестиционная стратегия и ее реализация в организации</w:t>
            </w:r>
          </w:p>
        </w:tc>
      </w:tr>
      <w:tr w:rsidR="00503A17" w:rsidRPr="00503A17" w:rsidTr="00503A17">
        <w:trPr>
          <w:trHeight w:val="263"/>
        </w:trPr>
        <w:tc>
          <w:tcPr>
            <w:tcW w:w="499" w:type="dxa"/>
          </w:tcPr>
          <w:p w:rsidR="00503A17" w:rsidRPr="00503A17" w:rsidRDefault="00503A17" w:rsidP="00B2026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left"/>
              <w:rPr>
                <w:sz w:val="26"/>
                <w:szCs w:val="26"/>
              </w:rPr>
            </w:pPr>
          </w:p>
        </w:tc>
        <w:tc>
          <w:tcPr>
            <w:tcW w:w="8715" w:type="dxa"/>
          </w:tcPr>
          <w:p w:rsidR="00503A17" w:rsidRPr="00503A17" w:rsidRDefault="00503A17" w:rsidP="007B7A93">
            <w:pPr>
              <w:spacing w:after="200" w:line="240" w:lineRule="auto"/>
              <w:ind w:firstLine="0"/>
              <w:rPr>
                <w:sz w:val="26"/>
                <w:szCs w:val="26"/>
              </w:rPr>
            </w:pPr>
            <w:r w:rsidRPr="00503A17">
              <w:rPr>
                <w:sz w:val="26"/>
                <w:szCs w:val="26"/>
              </w:rPr>
              <w:t>Исследование внутренних и внешних факторов, влияющих на финансовую устойчивость компании в долгосрочной перспективе</w:t>
            </w:r>
          </w:p>
        </w:tc>
      </w:tr>
      <w:tr w:rsidR="00503A17" w:rsidRPr="00503A17" w:rsidTr="00503A17">
        <w:trPr>
          <w:trHeight w:val="263"/>
        </w:trPr>
        <w:tc>
          <w:tcPr>
            <w:tcW w:w="499" w:type="dxa"/>
          </w:tcPr>
          <w:p w:rsidR="00503A17" w:rsidRPr="00503A17" w:rsidRDefault="00503A17" w:rsidP="00B2026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left"/>
              <w:rPr>
                <w:sz w:val="26"/>
                <w:szCs w:val="26"/>
              </w:rPr>
            </w:pPr>
          </w:p>
        </w:tc>
        <w:tc>
          <w:tcPr>
            <w:tcW w:w="8715" w:type="dxa"/>
          </w:tcPr>
          <w:p w:rsidR="00503A17" w:rsidRPr="00503A17" w:rsidRDefault="00503A17" w:rsidP="007B7A93">
            <w:pPr>
              <w:spacing w:after="200" w:line="240" w:lineRule="auto"/>
              <w:ind w:firstLine="0"/>
              <w:rPr>
                <w:sz w:val="26"/>
                <w:szCs w:val="26"/>
              </w:rPr>
            </w:pPr>
            <w:r w:rsidRPr="00503A17">
              <w:rPr>
                <w:sz w:val="26"/>
                <w:szCs w:val="26"/>
              </w:rPr>
              <w:t>Критерии и методы оценки финансовой устойчивости коммерческих банков</w:t>
            </w:r>
          </w:p>
        </w:tc>
      </w:tr>
      <w:tr w:rsidR="00503A17" w:rsidRPr="00503A17" w:rsidTr="00503A17">
        <w:trPr>
          <w:trHeight w:val="551"/>
        </w:trPr>
        <w:tc>
          <w:tcPr>
            <w:tcW w:w="499" w:type="dxa"/>
          </w:tcPr>
          <w:p w:rsidR="00503A17" w:rsidRPr="00503A17" w:rsidRDefault="00503A17" w:rsidP="00B2026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left"/>
              <w:rPr>
                <w:sz w:val="26"/>
                <w:szCs w:val="26"/>
              </w:rPr>
            </w:pPr>
          </w:p>
        </w:tc>
        <w:tc>
          <w:tcPr>
            <w:tcW w:w="8715" w:type="dxa"/>
          </w:tcPr>
          <w:p w:rsidR="00503A17" w:rsidRPr="00503A17" w:rsidRDefault="00503A17" w:rsidP="007B7A93">
            <w:pPr>
              <w:spacing w:after="200" w:line="240" w:lineRule="auto"/>
              <w:ind w:firstLine="0"/>
              <w:rPr>
                <w:sz w:val="26"/>
                <w:szCs w:val="26"/>
              </w:rPr>
            </w:pPr>
            <w:r w:rsidRPr="00503A17">
              <w:rPr>
                <w:sz w:val="26"/>
                <w:szCs w:val="26"/>
              </w:rPr>
              <w:t>Лизинг как форма финансирования инвестиционной деятельности компании</w:t>
            </w:r>
          </w:p>
        </w:tc>
      </w:tr>
      <w:tr w:rsidR="00503A17" w:rsidRPr="00503A17" w:rsidTr="00503A17">
        <w:trPr>
          <w:trHeight w:val="263"/>
        </w:trPr>
        <w:tc>
          <w:tcPr>
            <w:tcW w:w="499" w:type="dxa"/>
          </w:tcPr>
          <w:p w:rsidR="00503A17" w:rsidRPr="00503A17" w:rsidRDefault="00503A17" w:rsidP="00B2026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left"/>
              <w:rPr>
                <w:sz w:val="26"/>
                <w:szCs w:val="26"/>
              </w:rPr>
            </w:pPr>
          </w:p>
        </w:tc>
        <w:tc>
          <w:tcPr>
            <w:tcW w:w="8715" w:type="dxa"/>
          </w:tcPr>
          <w:p w:rsidR="00503A17" w:rsidRPr="00503A17" w:rsidRDefault="00503A17" w:rsidP="007B7A93">
            <w:pPr>
              <w:spacing w:after="200" w:line="240" w:lineRule="auto"/>
              <w:ind w:firstLine="0"/>
              <w:rPr>
                <w:sz w:val="26"/>
                <w:szCs w:val="26"/>
              </w:rPr>
            </w:pPr>
            <w:r w:rsidRPr="00503A17">
              <w:rPr>
                <w:sz w:val="26"/>
                <w:szCs w:val="26"/>
              </w:rPr>
              <w:t>Метод ликвидационной стоимости: сущность и специфика применения при оценке компании на стадии банкротства</w:t>
            </w:r>
          </w:p>
        </w:tc>
      </w:tr>
      <w:tr w:rsidR="00503A17" w:rsidRPr="00503A17" w:rsidTr="00503A17">
        <w:trPr>
          <w:trHeight w:val="577"/>
        </w:trPr>
        <w:tc>
          <w:tcPr>
            <w:tcW w:w="499" w:type="dxa"/>
          </w:tcPr>
          <w:p w:rsidR="00503A17" w:rsidRPr="00503A17" w:rsidRDefault="00503A17" w:rsidP="00B2026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left"/>
              <w:rPr>
                <w:sz w:val="26"/>
                <w:szCs w:val="26"/>
              </w:rPr>
            </w:pPr>
          </w:p>
        </w:tc>
        <w:tc>
          <w:tcPr>
            <w:tcW w:w="8715" w:type="dxa"/>
          </w:tcPr>
          <w:p w:rsidR="00503A17" w:rsidRPr="00503A17" w:rsidRDefault="00503A17" w:rsidP="007B7A93">
            <w:pPr>
              <w:spacing w:after="200" w:line="240" w:lineRule="auto"/>
              <w:ind w:firstLine="0"/>
              <w:rPr>
                <w:sz w:val="26"/>
                <w:szCs w:val="26"/>
              </w:rPr>
            </w:pPr>
            <w:r w:rsidRPr="00503A17">
              <w:rPr>
                <w:sz w:val="26"/>
                <w:szCs w:val="26"/>
              </w:rPr>
              <w:t>Модели денежных потоков, виды, сравнительная характеристика и специфика использования</w:t>
            </w:r>
          </w:p>
        </w:tc>
      </w:tr>
      <w:tr w:rsidR="00503A17" w:rsidRPr="00503A17" w:rsidTr="00503A17">
        <w:trPr>
          <w:trHeight w:val="263"/>
        </w:trPr>
        <w:tc>
          <w:tcPr>
            <w:tcW w:w="499" w:type="dxa"/>
          </w:tcPr>
          <w:p w:rsidR="00503A17" w:rsidRPr="00503A17" w:rsidRDefault="00503A17" w:rsidP="00B2026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left"/>
              <w:rPr>
                <w:sz w:val="26"/>
                <w:szCs w:val="26"/>
              </w:rPr>
            </w:pPr>
          </w:p>
        </w:tc>
        <w:tc>
          <w:tcPr>
            <w:tcW w:w="8715" w:type="dxa"/>
          </w:tcPr>
          <w:p w:rsidR="00503A17" w:rsidRPr="00503A17" w:rsidRDefault="00503A17" w:rsidP="007B7A93">
            <w:pPr>
              <w:spacing w:after="200" w:line="240" w:lineRule="auto"/>
              <w:ind w:firstLine="0"/>
              <w:rPr>
                <w:sz w:val="26"/>
                <w:szCs w:val="26"/>
              </w:rPr>
            </w:pPr>
            <w:r w:rsidRPr="00503A17">
              <w:rPr>
                <w:sz w:val="26"/>
                <w:szCs w:val="26"/>
              </w:rPr>
              <w:t>Налоговые платежи и методы их оптимизации в компании</w:t>
            </w:r>
          </w:p>
        </w:tc>
      </w:tr>
      <w:tr w:rsidR="00503A17" w:rsidRPr="00503A17" w:rsidTr="00503A17">
        <w:trPr>
          <w:trHeight w:val="263"/>
        </w:trPr>
        <w:tc>
          <w:tcPr>
            <w:tcW w:w="499" w:type="dxa"/>
          </w:tcPr>
          <w:p w:rsidR="00503A17" w:rsidRPr="00503A17" w:rsidRDefault="00503A17" w:rsidP="00B2026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left"/>
              <w:rPr>
                <w:sz w:val="26"/>
                <w:szCs w:val="26"/>
              </w:rPr>
            </w:pPr>
          </w:p>
        </w:tc>
        <w:tc>
          <w:tcPr>
            <w:tcW w:w="8715" w:type="dxa"/>
          </w:tcPr>
          <w:p w:rsidR="00503A17" w:rsidRPr="00503A17" w:rsidRDefault="00503A17" w:rsidP="007B7A93">
            <w:pPr>
              <w:spacing w:after="200" w:line="240" w:lineRule="auto"/>
              <w:ind w:firstLine="0"/>
              <w:rPr>
                <w:sz w:val="26"/>
                <w:szCs w:val="26"/>
              </w:rPr>
            </w:pPr>
            <w:r w:rsidRPr="00503A17">
              <w:rPr>
                <w:sz w:val="26"/>
                <w:szCs w:val="26"/>
              </w:rPr>
              <w:t>Налоговый менеджмент в системе управления финансами корпорации</w:t>
            </w:r>
          </w:p>
        </w:tc>
      </w:tr>
      <w:tr w:rsidR="00503A17" w:rsidRPr="00503A17" w:rsidTr="00503A17">
        <w:trPr>
          <w:trHeight w:val="263"/>
        </w:trPr>
        <w:tc>
          <w:tcPr>
            <w:tcW w:w="499" w:type="dxa"/>
          </w:tcPr>
          <w:p w:rsidR="00503A17" w:rsidRPr="00503A17" w:rsidRDefault="00503A17" w:rsidP="00B2026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left"/>
              <w:rPr>
                <w:sz w:val="26"/>
                <w:szCs w:val="26"/>
              </w:rPr>
            </w:pPr>
          </w:p>
        </w:tc>
        <w:tc>
          <w:tcPr>
            <w:tcW w:w="8715" w:type="dxa"/>
          </w:tcPr>
          <w:p w:rsidR="00503A17" w:rsidRPr="00503A17" w:rsidRDefault="00503A17" w:rsidP="007B7A93">
            <w:pPr>
              <w:spacing w:after="200" w:line="240" w:lineRule="auto"/>
              <w:ind w:firstLine="0"/>
              <w:rPr>
                <w:sz w:val="26"/>
                <w:szCs w:val="26"/>
              </w:rPr>
            </w:pPr>
            <w:r w:rsidRPr="00503A17">
              <w:rPr>
                <w:sz w:val="26"/>
                <w:szCs w:val="26"/>
              </w:rPr>
              <w:t>Оптимизация денежных потоков по направлениям деятельности компании</w:t>
            </w:r>
          </w:p>
        </w:tc>
      </w:tr>
      <w:tr w:rsidR="00503A17" w:rsidRPr="00503A17" w:rsidTr="00503A17">
        <w:trPr>
          <w:trHeight w:val="263"/>
        </w:trPr>
        <w:tc>
          <w:tcPr>
            <w:tcW w:w="499" w:type="dxa"/>
          </w:tcPr>
          <w:p w:rsidR="00503A17" w:rsidRPr="00503A17" w:rsidRDefault="00503A17" w:rsidP="00B2026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left"/>
              <w:rPr>
                <w:sz w:val="26"/>
                <w:szCs w:val="26"/>
              </w:rPr>
            </w:pPr>
          </w:p>
        </w:tc>
        <w:tc>
          <w:tcPr>
            <w:tcW w:w="8715" w:type="dxa"/>
          </w:tcPr>
          <w:p w:rsidR="00503A17" w:rsidRPr="00503A17" w:rsidRDefault="00503A17" w:rsidP="007B7A93">
            <w:pPr>
              <w:spacing w:after="200" w:line="240" w:lineRule="auto"/>
              <w:ind w:firstLine="0"/>
              <w:rPr>
                <w:sz w:val="26"/>
                <w:szCs w:val="26"/>
              </w:rPr>
            </w:pPr>
            <w:r w:rsidRPr="00503A17">
              <w:rPr>
                <w:sz w:val="26"/>
                <w:szCs w:val="26"/>
              </w:rPr>
              <w:t>Оптимизация структуры капитала корпорации</w:t>
            </w:r>
          </w:p>
        </w:tc>
      </w:tr>
      <w:tr w:rsidR="00503A17" w:rsidRPr="00503A17" w:rsidTr="00503A17">
        <w:trPr>
          <w:trHeight w:val="263"/>
        </w:trPr>
        <w:tc>
          <w:tcPr>
            <w:tcW w:w="499" w:type="dxa"/>
          </w:tcPr>
          <w:p w:rsidR="00503A17" w:rsidRPr="00503A17" w:rsidRDefault="00503A17" w:rsidP="00B2026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left"/>
              <w:rPr>
                <w:sz w:val="26"/>
                <w:szCs w:val="26"/>
              </w:rPr>
            </w:pPr>
          </w:p>
        </w:tc>
        <w:tc>
          <w:tcPr>
            <w:tcW w:w="8715" w:type="dxa"/>
          </w:tcPr>
          <w:p w:rsidR="00503A17" w:rsidRPr="00503A17" w:rsidRDefault="00503A17" w:rsidP="007B7A93">
            <w:pPr>
              <w:spacing w:after="200" w:line="276" w:lineRule="auto"/>
              <w:ind w:firstLine="0"/>
              <w:rPr>
                <w:sz w:val="26"/>
                <w:szCs w:val="26"/>
              </w:rPr>
            </w:pPr>
            <w:r w:rsidRPr="00503A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Особенности оценки компаний различных отраслей (по выбору)</w:t>
            </w:r>
          </w:p>
        </w:tc>
      </w:tr>
      <w:tr w:rsidR="00503A17" w:rsidRPr="00503A17" w:rsidTr="00503A17">
        <w:trPr>
          <w:trHeight w:val="263"/>
        </w:trPr>
        <w:tc>
          <w:tcPr>
            <w:tcW w:w="499" w:type="dxa"/>
          </w:tcPr>
          <w:p w:rsidR="00503A17" w:rsidRPr="00503A17" w:rsidRDefault="00503A17" w:rsidP="00B2026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left"/>
              <w:rPr>
                <w:sz w:val="26"/>
                <w:szCs w:val="26"/>
              </w:rPr>
            </w:pPr>
          </w:p>
        </w:tc>
        <w:tc>
          <w:tcPr>
            <w:tcW w:w="8715" w:type="dxa"/>
          </w:tcPr>
          <w:p w:rsidR="00503A17" w:rsidRPr="00503A17" w:rsidRDefault="00503A17" w:rsidP="007B7A93">
            <w:pPr>
              <w:spacing w:after="200" w:line="240" w:lineRule="auto"/>
              <w:ind w:firstLine="0"/>
              <w:rPr>
                <w:sz w:val="26"/>
                <w:szCs w:val="26"/>
              </w:rPr>
            </w:pPr>
            <w:r w:rsidRPr="00503A17">
              <w:rPr>
                <w:sz w:val="26"/>
                <w:szCs w:val="26"/>
              </w:rPr>
              <w:t>Особенности управления кредитным риском в современной банковской практике</w:t>
            </w:r>
          </w:p>
        </w:tc>
      </w:tr>
      <w:tr w:rsidR="00503A17" w:rsidRPr="00503A17" w:rsidTr="00503A17">
        <w:trPr>
          <w:trHeight w:val="263"/>
        </w:trPr>
        <w:tc>
          <w:tcPr>
            <w:tcW w:w="499" w:type="dxa"/>
          </w:tcPr>
          <w:p w:rsidR="00503A17" w:rsidRPr="00503A17" w:rsidRDefault="00503A17" w:rsidP="00B2026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left"/>
              <w:rPr>
                <w:sz w:val="26"/>
                <w:szCs w:val="26"/>
              </w:rPr>
            </w:pPr>
          </w:p>
        </w:tc>
        <w:tc>
          <w:tcPr>
            <w:tcW w:w="8715" w:type="dxa"/>
          </w:tcPr>
          <w:p w:rsidR="00503A17" w:rsidRPr="00503A17" w:rsidRDefault="00503A17" w:rsidP="007B7A93">
            <w:pPr>
              <w:spacing w:after="200" w:line="240" w:lineRule="auto"/>
              <w:ind w:firstLine="0"/>
              <w:rPr>
                <w:sz w:val="26"/>
                <w:szCs w:val="26"/>
              </w:rPr>
            </w:pPr>
            <w:r w:rsidRPr="00503A17">
              <w:rPr>
                <w:sz w:val="26"/>
                <w:szCs w:val="26"/>
              </w:rPr>
              <w:t>Оценка инвестиционной привлекательности компаний</w:t>
            </w:r>
          </w:p>
        </w:tc>
      </w:tr>
      <w:tr w:rsidR="00503A17" w:rsidRPr="00503A17" w:rsidTr="00503A17">
        <w:trPr>
          <w:trHeight w:val="263"/>
        </w:trPr>
        <w:tc>
          <w:tcPr>
            <w:tcW w:w="499" w:type="dxa"/>
          </w:tcPr>
          <w:p w:rsidR="00503A17" w:rsidRPr="00503A17" w:rsidRDefault="00503A17" w:rsidP="00B2026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left"/>
              <w:rPr>
                <w:sz w:val="26"/>
                <w:szCs w:val="26"/>
              </w:rPr>
            </w:pPr>
          </w:p>
        </w:tc>
        <w:tc>
          <w:tcPr>
            <w:tcW w:w="8715" w:type="dxa"/>
          </w:tcPr>
          <w:p w:rsidR="00503A17" w:rsidRPr="00503A17" w:rsidRDefault="00503A17" w:rsidP="007B7A93">
            <w:pPr>
              <w:tabs>
                <w:tab w:val="left" w:pos="2085"/>
              </w:tabs>
              <w:spacing w:after="200" w:line="240" w:lineRule="auto"/>
              <w:ind w:firstLine="0"/>
              <w:rPr>
                <w:sz w:val="26"/>
                <w:szCs w:val="26"/>
              </w:rPr>
            </w:pPr>
            <w:r w:rsidRPr="00503A17">
              <w:rPr>
                <w:sz w:val="26"/>
                <w:szCs w:val="26"/>
              </w:rPr>
              <w:t>Оценка кредитоспособности банковского заемщика как этап управления кредитным риском</w:t>
            </w:r>
          </w:p>
        </w:tc>
      </w:tr>
      <w:tr w:rsidR="00503A17" w:rsidRPr="00503A17" w:rsidTr="00503A17">
        <w:trPr>
          <w:trHeight w:val="263"/>
        </w:trPr>
        <w:tc>
          <w:tcPr>
            <w:tcW w:w="499" w:type="dxa"/>
          </w:tcPr>
          <w:p w:rsidR="00503A17" w:rsidRPr="00503A17" w:rsidRDefault="00503A17" w:rsidP="00B2026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left"/>
              <w:rPr>
                <w:sz w:val="26"/>
                <w:szCs w:val="26"/>
              </w:rPr>
            </w:pPr>
          </w:p>
        </w:tc>
        <w:tc>
          <w:tcPr>
            <w:tcW w:w="8715" w:type="dxa"/>
          </w:tcPr>
          <w:p w:rsidR="00503A17" w:rsidRPr="00503A17" w:rsidRDefault="00503A17" w:rsidP="007B7A93">
            <w:pPr>
              <w:spacing w:after="200" w:line="276" w:lineRule="auto"/>
              <w:ind w:firstLine="0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503A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Оценка региональных инвестиционных проектов: проблемы и пути их решения (указать регион)</w:t>
            </w:r>
          </w:p>
        </w:tc>
      </w:tr>
      <w:tr w:rsidR="00503A17" w:rsidRPr="00503A17" w:rsidTr="00503A17">
        <w:trPr>
          <w:trHeight w:val="263"/>
        </w:trPr>
        <w:tc>
          <w:tcPr>
            <w:tcW w:w="499" w:type="dxa"/>
          </w:tcPr>
          <w:p w:rsidR="00503A17" w:rsidRPr="00503A17" w:rsidRDefault="00503A17" w:rsidP="00B2026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left"/>
              <w:rPr>
                <w:sz w:val="26"/>
                <w:szCs w:val="26"/>
              </w:rPr>
            </w:pPr>
          </w:p>
        </w:tc>
        <w:tc>
          <w:tcPr>
            <w:tcW w:w="8715" w:type="dxa"/>
          </w:tcPr>
          <w:p w:rsidR="00503A17" w:rsidRPr="00503A17" w:rsidRDefault="00503A17" w:rsidP="007B7A93">
            <w:pPr>
              <w:spacing w:after="200" w:line="276" w:lineRule="auto"/>
              <w:ind w:firstLine="0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503A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Оценка стоимости активов российских компаний: технологии, проблемы и пути их решения</w:t>
            </w:r>
          </w:p>
        </w:tc>
      </w:tr>
      <w:tr w:rsidR="00503A17" w:rsidRPr="00503A17" w:rsidTr="00503A17">
        <w:trPr>
          <w:trHeight w:val="263"/>
        </w:trPr>
        <w:tc>
          <w:tcPr>
            <w:tcW w:w="499" w:type="dxa"/>
          </w:tcPr>
          <w:p w:rsidR="00503A17" w:rsidRPr="00503A17" w:rsidRDefault="00503A17" w:rsidP="00B2026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left"/>
              <w:rPr>
                <w:sz w:val="26"/>
                <w:szCs w:val="26"/>
              </w:rPr>
            </w:pPr>
          </w:p>
        </w:tc>
        <w:tc>
          <w:tcPr>
            <w:tcW w:w="8715" w:type="dxa"/>
          </w:tcPr>
          <w:p w:rsidR="00503A17" w:rsidRPr="00503A17" w:rsidRDefault="00503A17" w:rsidP="007B7A93">
            <w:pPr>
              <w:spacing w:after="200" w:line="276" w:lineRule="auto"/>
              <w:ind w:firstLine="0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503A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Применение метода компании - аналога при оценке российских компаний: анализ опыта и перспективы развития (на примере компаний конкретной отрасли)</w:t>
            </w:r>
          </w:p>
        </w:tc>
      </w:tr>
      <w:tr w:rsidR="00503A17" w:rsidRPr="00503A17" w:rsidTr="00503A17">
        <w:trPr>
          <w:trHeight w:val="263"/>
        </w:trPr>
        <w:tc>
          <w:tcPr>
            <w:tcW w:w="499" w:type="dxa"/>
          </w:tcPr>
          <w:p w:rsidR="00503A17" w:rsidRPr="00503A17" w:rsidRDefault="00503A17" w:rsidP="00B2026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left"/>
              <w:rPr>
                <w:sz w:val="26"/>
                <w:szCs w:val="26"/>
              </w:rPr>
            </w:pPr>
          </w:p>
        </w:tc>
        <w:tc>
          <w:tcPr>
            <w:tcW w:w="8715" w:type="dxa"/>
          </w:tcPr>
          <w:p w:rsidR="00503A17" w:rsidRPr="00503A17" w:rsidRDefault="00503A17" w:rsidP="007B7A93">
            <w:pPr>
              <w:spacing w:after="200" w:line="240" w:lineRule="auto"/>
              <w:ind w:firstLine="0"/>
              <w:rPr>
                <w:sz w:val="26"/>
                <w:szCs w:val="26"/>
              </w:rPr>
            </w:pPr>
            <w:r w:rsidRPr="00503A17">
              <w:rPr>
                <w:sz w:val="26"/>
                <w:szCs w:val="26"/>
              </w:rPr>
              <w:t>Применение метода компании-аналога при оценке российских компаний: современные проблемы и пути их решения</w:t>
            </w:r>
          </w:p>
        </w:tc>
      </w:tr>
      <w:tr w:rsidR="00503A17" w:rsidRPr="00503A17" w:rsidTr="00503A17">
        <w:trPr>
          <w:trHeight w:val="263"/>
        </w:trPr>
        <w:tc>
          <w:tcPr>
            <w:tcW w:w="499" w:type="dxa"/>
          </w:tcPr>
          <w:p w:rsidR="00503A17" w:rsidRPr="00503A17" w:rsidRDefault="00503A17" w:rsidP="00B2026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left"/>
              <w:rPr>
                <w:sz w:val="26"/>
                <w:szCs w:val="26"/>
              </w:rPr>
            </w:pPr>
          </w:p>
        </w:tc>
        <w:tc>
          <w:tcPr>
            <w:tcW w:w="8715" w:type="dxa"/>
          </w:tcPr>
          <w:p w:rsidR="00503A17" w:rsidRPr="00503A17" w:rsidRDefault="00503A17" w:rsidP="007B7A93">
            <w:pPr>
              <w:tabs>
                <w:tab w:val="left" w:pos="2085"/>
              </w:tabs>
              <w:spacing w:after="200" w:line="240" w:lineRule="auto"/>
              <w:ind w:firstLine="0"/>
              <w:rPr>
                <w:sz w:val="26"/>
                <w:szCs w:val="26"/>
              </w:rPr>
            </w:pPr>
            <w:r w:rsidRPr="00503A17">
              <w:rPr>
                <w:sz w:val="26"/>
                <w:szCs w:val="26"/>
              </w:rPr>
              <w:t>Проблемы управления активами компании в современных условиях</w:t>
            </w:r>
          </w:p>
        </w:tc>
      </w:tr>
      <w:tr w:rsidR="00503A17" w:rsidRPr="00503A17" w:rsidTr="00503A17">
        <w:trPr>
          <w:trHeight w:val="263"/>
        </w:trPr>
        <w:tc>
          <w:tcPr>
            <w:tcW w:w="499" w:type="dxa"/>
          </w:tcPr>
          <w:p w:rsidR="00503A17" w:rsidRPr="00503A17" w:rsidRDefault="00503A17" w:rsidP="00B2026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left"/>
              <w:rPr>
                <w:sz w:val="26"/>
                <w:szCs w:val="26"/>
              </w:rPr>
            </w:pPr>
          </w:p>
        </w:tc>
        <w:tc>
          <w:tcPr>
            <w:tcW w:w="8715" w:type="dxa"/>
          </w:tcPr>
          <w:p w:rsidR="00503A17" w:rsidRPr="00503A17" w:rsidRDefault="00503A17" w:rsidP="007B7A93">
            <w:pPr>
              <w:spacing w:after="200" w:line="240" w:lineRule="auto"/>
              <w:ind w:firstLine="0"/>
              <w:rPr>
                <w:sz w:val="26"/>
                <w:szCs w:val="26"/>
              </w:rPr>
            </w:pPr>
            <w:r w:rsidRPr="00503A17">
              <w:rPr>
                <w:sz w:val="26"/>
                <w:szCs w:val="26"/>
              </w:rPr>
              <w:t>Прогнозирование риска банкротства компаний</w:t>
            </w:r>
          </w:p>
        </w:tc>
      </w:tr>
      <w:tr w:rsidR="00503A17" w:rsidRPr="00503A17" w:rsidTr="00503A17">
        <w:trPr>
          <w:trHeight w:val="263"/>
        </w:trPr>
        <w:tc>
          <w:tcPr>
            <w:tcW w:w="499" w:type="dxa"/>
          </w:tcPr>
          <w:p w:rsidR="00503A17" w:rsidRPr="00503A17" w:rsidRDefault="00503A17" w:rsidP="00B2026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left"/>
              <w:rPr>
                <w:sz w:val="26"/>
                <w:szCs w:val="26"/>
              </w:rPr>
            </w:pPr>
          </w:p>
        </w:tc>
        <w:tc>
          <w:tcPr>
            <w:tcW w:w="8715" w:type="dxa"/>
          </w:tcPr>
          <w:p w:rsidR="00503A17" w:rsidRPr="00503A17" w:rsidRDefault="00503A17" w:rsidP="007B7A93">
            <w:pPr>
              <w:spacing w:after="200" w:line="240" w:lineRule="auto"/>
              <w:ind w:firstLine="0"/>
              <w:rPr>
                <w:sz w:val="26"/>
                <w:szCs w:val="26"/>
              </w:rPr>
            </w:pPr>
            <w:r w:rsidRPr="00503A17">
              <w:rPr>
                <w:sz w:val="26"/>
                <w:szCs w:val="26"/>
              </w:rPr>
              <w:t>Риск банкротства и методы его оценки</w:t>
            </w:r>
          </w:p>
        </w:tc>
      </w:tr>
      <w:tr w:rsidR="00503A17" w:rsidRPr="00503A17" w:rsidTr="00503A17">
        <w:trPr>
          <w:trHeight w:val="263"/>
        </w:trPr>
        <w:tc>
          <w:tcPr>
            <w:tcW w:w="499" w:type="dxa"/>
          </w:tcPr>
          <w:p w:rsidR="00503A17" w:rsidRPr="00503A17" w:rsidRDefault="00503A17" w:rsidP="00B2026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left"/>
              <w:rPr>
                <w:sz w:val="26"/>
                <w:szCs w:val="26"/>
              </w:rPr>
            </w:pPr>
          </w:p>
        </w:tc>
        <w:tc>
          <w:tcPr>
            <w:tcW w:w="8715" w:type="dxa"/>
          </w:tcPr>
          <w:p w:rsidR="00503A17" w:rsidRPr="00503A17" w:rsidRDefault="00503A17" w:rsidP="007B7A93">
            <w:pPr>
              <w:spacing w:after="200" w:line="240" w:lineRule="auto"/>
              <w:ind w:firstLine="0"/>
              <w:rPr>
                <w:sz w:val="26"/>
                <w:szCs w:val="26"/>
              </w:rPr>
            </w:pPr>
            <w:r w:rsidRPr="00503A17">
              <w:rPr>
                <w:sz w:val="26"/>
                <w:szCs w:val="26"/>
              </w:rPr>
              <w:t>Система риск-менеджмента банка: понятие и особенности построения</w:t>
            </w:r>
          </w:p>
        </w:tc>
      </w:tr>
      <w:tr w:rsidR="00503A17" w:rsidRPr="00503A17" w:rsidTr="00503A17">
        <w:trPr>
          <w:trHeight w:val="263"/>
        </w:trPr>
        <w:tc>
          <w:tcPr>
            <w:tcW w:w="499" w:type="dxa"/>
          </w:tcPr>
          <w:p w:rsidR="00503A17" w:rsidRPr="00503A17" w:rsidRDefault="00503A17" w:rsidP="00B2026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left"/>
              <w:rPr>
                <w:sz w:val="26"/>
                <w:szCs w:val="26"/>
              </w:rPr>
            </w:pPr>
          </w:p>
        </w:tc>
        <w:tc>
          <w:tcPr>
            <w:tcW w:w="8715" w:type="dxa"/>
          </w:tcPr>
          <w:p w:rsidR="00503A17" w:rsidRPr="00503A17" w:rsidRDefault="00503A17" w:rsidP="007B7A93">
            <w:pPr>
              <w:spacing w:after="200" w:line="240" w:lineRule="auto"/>
              <w:ind w:firstLine="0"/>
              <w:rPr>
                <w:sz w:val="26"/>
                <w:szCs w:val="26"/>
              </w:rPr>
            </w:pPr>
            <w:r w:rsidRPr="00503A17">
              <w:rPr>
                <w:sz w:val="26"/>
                <w:szCs w:val="26"/>
              </w:rPr>
              <w:t xml:space="preserve">Совершенствование системы управления кредитным портфелем банка как фактор его устойчивости  </w:t>
            </w:r>
          </w:p>
        </w:tc>
      </w:tr>
      <w:tr w:rsidR="00503A17" w:rsidRPr="00503A17" w:rsidTr="00503A17">
        <w:trPr>
          <w:trHeight w:val="483"/>
        </w:trPr>
        <w:tc>
          <w:tcPr>
            <w:tcW w:w="499" w:type="dxa"/>
          </w:tcPr>
          <w:p w:rsidR="00503A17" w:rsidRPr="00503A17" w:rsidRDefault="00503A17" w:rsidP="00B2026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left"/>
              <w:rPr>
                <w:sz w:val="26"/>
                <w:szCs w:val="26"/>
              </w:rPr>
            </w:pPr>
          </w:p>
        </w:tc>
        <w:tc>
          <w:tcPr>
            <w:tcW w:w="8715" w:type="dxa"/>
          </w:tcPr>
          <w:p w:rsidR="00503A17" w:rsidRPr="00503A17" w:rsidRDefault="00503A17" w:rsidP="007B7A93">
            <w:pPr>
              <w:spacing w:after="200" w:line="240" w:lineRule="auto"/>
              <w:ind w:firstLine="0"/>
              <w:contextualSpacing/>
              <w:rPr>
                <w:sz w:val="26"/>
                <w:szCs w:val="26"/>
              </w:rPr>
            </w:pPr>
            <w:r w:rsidRPr="00503A17">
              <w:rPr>
                <w:sz w:val="26"/>
                <w:szCs w:val="26"/>
              </w:rPr>
              <w:t>Совершенствование системы управления рисками российских банков</w:t>
            </w:r>
          </w:p>
        </w:tc>
      </w:tr>
      <w:tr w:rsidR="00503A17" w:rsidRPr="00503A17" w:rsidTr="00503A17">
        <w:trPr>
          <w:trHeight w:val="392"/>
        </w:trPr>
        <w:tc>
          <w:tcPr>
            <w:tcW w:w="499" w:type="dxa"/>
          </w:tcPr>
          <w:p w:rsidR="00503A17" w:rsidRPr="00503A17" w:rsidRDefault="00503A17" w:rsidP="00B2026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left"/>
              <w:rPr>
                <w:sz w:val="26"/>
                <w:szCs w:val="26"/>
              </w:rPr>
            </w:pPr>
          </w:p>
        </w:tc>
        <w:tc>
          <w:tcPr>
            <w:tcW w:w="8715" w:type="dxa"/>
          </w:tcPr>
          <w:p w:rsidR="00503A17" w:rsidRPr="00503A17" w:rsidRDefault="00503A17" w:rsidP="007B7A93">
            <w:pPr>
              <w:spacing w:after="200" w:line="240" w:lineRule="auto"/>
              <w:ind w:firstLine="0"/>
              <w:rPr>
                <w:sz w:val="26"/>
                <w:szCs w:val="26"/>
              </w:rPr>
            </w:pPr>
            <w:r w:rsidRPr="00503A17">
              <w:rPr>
                <w:sz w:val="26"/>
                <w:szCs w:val="26"/>
              </w:rPr>
              <w:t>Совершенствование управления текущими затратами и финансовая результативность компании</w:t>
            </w:r>
          </w:p>
        </w:tc>
      </w:tr>
      <w:tr w:rsidR="00503A17" w:rsidRPr="00503A17" w:rsidTr="00503A17">
        <w:trPr>
          <w:trHeight w:val="263"/>
        </w:trPr>
        <w:tc>
          <w:tcPr>
            <w:tcW w:w="499" w:type="dxa"/>
          </w:tcPr>
          <w:p w:rsidR="00503A17" w:rsidRPr="00503A17" w:rsidRDefault="00503A17" w:rsidP="00B2026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left"/>
              <w:rPr>
                <w:sz w:val="26"/>
                <w:szCs w:val="26"/>
              </w:rPr>
            </w:pPr>
          </w:p>
        </w:tc>
        <w:tc>
          <w:tcPr>
            <w:tcW w:w="8715" w:type="dxa"/>
          </w:tcPr>
          <w:p w:rsidR="00503A17" w:rsidRPr="00503A17" w:rsidRDefault="00503A17" w:rsidP="007B7A93">
            <w:pPr>
              <w:spacing w:after="200" w:line="240" w:lineRule="auto"/>
              <w:ind w:firstLine="0"/>
              <w:rPr>
                <w:sz w:val="26"/>
                <w:szCs w:val="26"/>
              </w:rPr>
            </w:pPr>
            <w:r w:rsidRPr="00503A17">
              <w:rPr>
                <w:sz w:val="26"/>
                <w:szCs w:val="26"/>
              </w:rPr>
              <w:t>Сравнительный подход  в оценке бизнеса и особенности его применения в российской практике</w:t>
            </w:r>
          </w:p>
        </w:tc>
      </w:tr>
      <w:tr w:rsidR="00503A17" w:rsidRPr="00503A17" w:rsidTr="00503A17">
        <w:trPr>
          <w:trHeight w:val="263"/>
        </w:trPr>
        <w:tc>
          <w:tcPr>
            <w:tcW w:w="499" w:type="dxa"/>
          </w:tcPr>
          <w:p w:rsidR="00503A17" w:rsidRPr="00503A17" w:rsidRDefault="00503A17" w:rsidP="00B2026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left"/>
              <w:rPr>
                <w:sz w:val="26"/>
                <w:szCs w:val="26"/>
              </w:rPr>
            </w:pPr>
          </w:p>
        </w:tc>
        <w:tc>
          <w:tcPr>
            <w:tcW w:w="8715" w:type="dxa"/>
          </w:tcPr>
          <w:p w:rsidR="00503A17" w:rsidRPr="00503A17" w:rsidRDefault="00503A17" w:rsidP="007B7A93">
            <w:pPr>
              <w:spacing w:after="200" w:line="276" w:lineRule="auto"/>
              <w:ind w:firstLine="0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03A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Стоимостно</w:t>
            </w:r>
            <w:proofErr w:type="spellEnd"/>
            <w:r w:rsidRPr="00503A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-ориентированное </w:t>
            </w:r>
            <w:bookmarkStart w:id="0" w:name="_GoBack"/>
            <w:bookmarkEnd w:id="0"/>
            <w:r w:rsidRPr="00503A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управление компанией: современные технологии и модели (на примере конкретной модели)</w:t>
            </w:r>
          </w:p>
        </w:tc>
      </w:tr>
      <w:tr w:rsidR="00503A17" w:rsidRPr="00503A17" w:rsidTr="00503A17">
        <w:trPr>
          <w:trHeight w:val="263"/>
        </w:trPr>
        <w:tc>
          <w:tcPr>
            <w:tcW w:w="499" w:type="dxa"/>
          </w:tcPr>
          <w:p w:rsidR="00503A17" w:rsidRPr="00503A17" w:rsidRDefault="00503A17" w:rsidP="00B2026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left"/>
              <w:rPr>
                <w:sz w:val="26"/>
                <w:szCs w:val="26"/>
              </w:rPr>
            </w:pPr>
          </w:p>
        </w:tc>
        <w:tc>
          <w:tcPr>
            <w:tcW w:w="8715" w:type="dxa"/>
          </w:tcPr>
          <w:p w:rsidR="00503A17" w:rsidRPr="00503A17" w:rsidRDefault="00503A17" w:rsidP="007B7A93">
            <w:pPr>
              <w:spacing w:after="200" w:line="240" w:lineRule="auto"/>
              <w:ind w:firstLine="0"/>
              <w:rPr>
                <w:sz w:val="26"/>
                <w:szCs w:val="26"/>
              </w:rPr>
            </w:pPr>
            <w:r w:rsidRPr="00503A17">
              <w:rPr>
                <w:sz w:val="26"/>
                <w:szCs w:val="26"/>
              </w:rPr>
              <w:t>Структура и взаимосвязь механизма финансового взаимодействия государства и корпоративных финансов в рыночных условиях</w:t>
            </w:r>
          </w:p>
        </w:tc>
      </w:tr>
      <w:tr w:rsidR="00503A17" w:rsidRPr="00503A17" w:rsidTr="00503A17">
        <w:trPr>
          <w:trHeight w:val="263"/>
        </w:trPr>
        <w:tc>
          <w:tcPr>
            <w:tcW w:w="499" w:type="dxa"/>
          </w:tcPr>
          <w:p w:rsidR="00503A17" w:rsidRPr="00503A17" w:rsidRDefault="00503A17" w:rsidP="00B2026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left"/>
              <w:rPr>
                <w:sz w:val="26"/>
                <w:szCs w:val="26"/>
              </w:rPr>
            </w:pPr>
          </w:p>
        </w:tc>
        <w:tc>
          <w:tcPr>
            <w:tcW w:w="8715" w:type="dxa"/>
          </w:tcPr>
          <w:p w:rsidR="00503A17" w:rsidRPr="00503A17" w:rsidRDefault="00503A17" w:rsidP="007B7A93">
            <w:pPr>
              <w:spacing w:after="200" w:line="276" w:lineRule="auto"/>
              <w:ind w:firstLine="0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503A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Структура капитала и ее влияние на стоимость компании (на примере конкретной компании)</w:t>
            </w:r>
          </w:p>
        </w:tc>
      </w:tr>
      <w:tr w:rsidR="00503A17" w:rsidRPr="00503A17" w:rsidTr="00503A17">
        <w:trPr>
          <w:trHeight w:val="263"/>
        </w:trPr>
        <w:tc>
          <w:tcPr>
            <w:tcW w:w="499" w:type="dxa"/>
          </w:tcPr>
          <w:p w:rsidR="00503A17" w:rsidRPr="00503A17" w:rsidRDefault="00503A17" w:rsidP="00B2026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left"/>
              <w:rPr>
                <w:sz w:val="26"/>
                <w:szCs w:val="26"/>
              </w:rPr>
            </w:pPr>
          </w:p>
        </w:tc>
        <w:tc>
          <w:tcPr>
            <w:tcW w:w="8715" w:type="dxa"/>
          </w:tcPr>
          <w:p w:rsidR="00503A17" w:rsidRPr="00503A17" w:rsidRDefault="00503A17" w:rsidP="007B7A93">
            <w:pPr>
              <w:spacing w:after="200" w:line="240" w:lineRule="auto"/>
              <w:ind w:firstLine="0"/>
              <w:rPr>
                <w:sz w:val="26"/>
                <w:szCs w:val="26"/>
              </w:rPr>
            </w:pPr>
            <w:r w:rsidRPr="00503A17">
              <w:rPr>
                <w:sz w:val="26"/>
                <w:szCs w:val="26"/>
              </w:rPr>
              <w:t>Сущность, алгоритм и проблемы применения доходного подхода к оценке бизнеса</w:t>
            </w:r>
          </w:p>
        </w:tc>
      </w:tr>
      <w:tr w:rsidR="00503A17" w:rsidRPr="00503A17" w:rsidTr="00503A17">
        <w:trPr>
          <w:trHeight w:val="263"/>
        </w:trPr>
        <w:tc>
          <w:tcPr>
            <w:tcW w:w="499" w:type="dxa"/>
          </w:tcPr>
          <w:p w:rsidR="00503A17" w:rsidRPr="00503A17" w:rsidRDefault="00503A17" w:rsidP="00B2026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left"/>
              <w:rPr>
                <w:sz w:val="26"/>
                <w:szCs w:val="26"/>
              </w:rPr>
            </w:pPr>
          </w:p>
        </w:tc>
        <w:tc>
          <w:tcPr>
            <w:tcW w:w="8715" w:type="dxa"/>
          </w:tcPr>
          <w:p w:rsidR="00503A17" w:rsidRPr="00503A17" w:rsidRDefault="00503A17" w:rsidP="007B7A93">
            <w:pPr>
              <w:spacing w:after="200" w:line="240" w:lineRule="auto"/>
              <w:ind w:firstLine="0"/>
              <w:rPr>
                <w:sz w:val="26"/>
                <w:szCs w:val="26"/>
              </w:rPr>
            </w:pPr>
            <w:r w:rsidRPr="00503A17">
              <w:rPr>
                <w:sz w:val="26"/>
                <w:szCs w:val="26"/>
              </w:rPr>
              <w:t>Управление активами как инструмент финансового менеджмента</w:t>
            </w:r>
          </w:p>
        </w:tc>
      </w:tr>
      <w:tr w:rsidR="00503A17" w:rsidRPr="00503A17" w:rsidTr="00503A17">
        <w:trPr>
          <w:trHeight w:val="263"/>
        </w:trPr>
        <w:tc>
          <w:tcPr>
            <w:tcW w:w="499" w:type="dxa"/>
          </w:tcPr>
          <w:p w:rsidR="00503A17" w:rsidRPr="00503A17" w:rsidRDefault="00503A17" w:rsidP="00B2026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left"/>
              <w:rPr>
                <w:sz w:val="26"/>
                <w:szCs w:val="26"/>
              </w:rPr>
            </w:pPr>
          </w:p>
        </w:tc>
        <w:tc>
          <w:tcPr>
            <w:tcW w:w="8715" w:type="dxa"/>
          </w:tcPr>
          <w:p w:rsidR="00503A17" w:rsidRPr="00503A17" w:rsidRDefault="00503A17" w:rsidP="007B7A93">
            <w:pPr>
              <w:spacing w:after="200" w:line="240" w:lineRule="auto"/>
              <w:ind w:firstLine="0"/>
              <w:rPr>
                <w:sz w:val="26"/>
                <w:szCs w:val="26"/>
              </w:rPr>
            </w:pPr>
            <w:r w:rsidRPr="00503A17">
              <w:rPr>
                <w:sz w:val="26"/>
                <w:szCs w:val="26"/>
              </w:rPr>
              <w:t>Управление дебиторской и кредиторской задолженностью в системе корпоративных финансов</w:t>
            </w:r>
          </w:p>
        </w:tc>
      </w:tr>
      <w:tr w:rsidR="00503A17" w:rsidRPr="00503A17" w:rsidTr="00503A17">
        <w:trPr>
          <w:trHeight w:val="263"/>
        </w:trPr>
        <w:tc>
          <w:tcPr>
            <w:tcW w:w="499" w:type="dxa"/>
          </w:tcPr>
          <w:p w:rsidR="00503A17" w:rsidRPr="00503A17" w:rsidRDefault="00503A17" w:rsidP="00B2026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left"/>
              <w:rPr>
                <w:sz w:val="26"/>
                <w:szCs w:val="26"/>
              </w:rPr>
            </w:pPr>
          </w:p>
        </w:tc>
        <w:tc>
          <w:tcPr>
            <w:tcW w:w="8715" w:type="dxa"/>
          </w:tcPr>
          <w:p w:rsidR="00503A17" w:rsidRPr="00503A17" w:rsidRDefault="00503A17" w:rsidP="007B7A93">
            <w:pPr>
              <w:spacing w:after="200" w:line="240" w:lineRule="auto"/>
              <w:ind w:firstLine="0"/>
              <w:rPr>
                <w:sz w:val="26"/>
                <w:szCs w:val="26"/>
              </w:rPr>
            </w:pPr>
            <w:r w:rsidRPr="00503A17">
              <w:rPr>
                <w:sz w:val="26"/>
                <w:szCs w:val="26"/>
              </w:rPr>
              <w:t>Управление финансовыми и налоговыми рисками</w:t>
            </w:r>
          </w:p>
        </w:tc>
      </w:tr>
      <w:tr w:rsidR="00503A17" w:rsidRPr="00503A17" w:rsidTr="00503A17">
        <w:trPr>
          <w:trHeight w:val="263"/>
        </w:trPr>
        <w:tc>
          <w:tcPr>
            <w:tcW w:w="499" w:type="dxa"/>
          </w:tcPr>
          <w:p w:rsidR="00503A17" w:rsidRPr="00503A17" w:rsidRDefault="00503A17" w:rsidP="00B2026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left"/>
              <w:rPr>
                <w:sz w:val="26"/>
                <w:szCs w:val="26"/>
              </w:rPr>
            </w:pPr>
          </w:p>
        </w:tc>
        <w:tc>
          <w:tcPr>
            <w:tcW w:w="8715" w:type="dxa"/>
          </w:tcPr>
          <w:p w:rsidR="00503A17" w:rsidRPr="00503A17" w:rsidRDefault="00503A17" w:rsidP="007B7A93">
            <w:pPr>
              <w:spacing w:after="200" w:line="240" w:lineRule="auto"/>
              <w:ind w:firstLine="0"/>
              <w:rPr>
                <w:sz w:val="26"/>
                <w:szCs w:val="26"/>
              </w:rPr>
            </w:pPr>
            <w:r w:rsidRPr="00503A17">
              <w:rPr>
                <w:sz w:val="26"/>
                <w:szCs w:val="26"/>
              </w:rPr>
              <w:t>Финансовое состояние как основа инвестиционной привлекательности компании</w:t>
            </w:r>
          </w:p>
        </w:tc>
      </w:tr>
      <w:tr w:rsidR="00503A17" w:rsidRPr="00503A17" w:rsidTr="00503A17">
        <w:trPr>
          <w:trHeight w:val="263"/>
        </w:trPr>
        <w:tc>
          <w:tcPr>
            <w:tcW w:w="499" w:type="dxa"/>
          </w:tcPr>
          <w:p w:rsidR="00503A17" w:rsidRPr="00503A17" w:rsidRDefault="00503A17" w:rsidP="00B2026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left"/>
              <w:rPr>
                <w:sz w:val="26"/>
                <w:szCs w:val="26"/>
              </w:rPr>
            </w:pPr>
          </w:p>
        </w:tc>
        <w:tc>
          <w:tcPr>
            <w:tcW w:w="8715" w:type="dxa"/>
          </w:tcPr>
          <w:p w:rsidR="00503A17" w:rsidRPr="00503A17" w:rsidRDefault="00503A17" w:rsidP="007B7A93">
            <w:pPr>
              <w:spacing w:after="200" w:line="240" w:lineRule="auto"/>
              <w:ind w:firstLine="0"/>
              <w:rPr>
                <w:sz w:val="26"/>
                <w:szCs w:val="26"/>
              </w:rPr>
            </w:pPr>
            <w:r w:rsidRPr="00503A17">
              <w:rPr>
                <w:sz w:val="26"/>
                <w:szCs w:val="26"/>
              </w:rPr>
              <w:t>Финансовые  показатели оценки эффективности деятельности корпорации</w:t>
            </w:r>
          </w:p>
        </w:tc>
      </w:tr>
      <w:tr w:rsidR="00503A17" w:rsidRPr="00503A17" w:rsidTr="00503A17">
        <w:trPr>
          <w:trHeight w:val="263"/>
        </w:trPr>
        <w:tc>
          <w:tcPr>
            <w:tcW w:w="499" w:type="dxa"/>
          </w:tcPr>
          <w:p w:rsidR="00503A17" w:rsidRPr="00503A17" w:rsidRDefault="00503A17" w:rsidP="00B2026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left"/>
              <w:rPr>
                <w:sz w:val="26"/>
                <w:szCs w:val="26"/>
              </w:rPr>
            </w:pPr>
          </w:p>
        </w:tc>
        <w:tc>
          <w:tcPr>
            <w:tcW w:w="8715" w:type="dxa"/>
          </w:tcPr>
          <w:p w:rsidR="00503A17" w:rsidRPr="00503A17" w:rsidRDefault="00503A17" w:rsidP="007B7A93">
            <w:pPr>
              <w:spacing w:after="200" w:line="240" w:lineRule="auto"/>
              <w:ind w:firstLine="0"/>
              <w:rPr>
                <w:sz w:val="26"/>
                <w:szCs w:val="26"/>
              </w:rPr>
            </w:pPr>
            <w:r w:rsidRPr="00503A17">
              <w:rPr>
                <w:sz w:val="26"/>
                <w:szCs w:val="26"/>
              </w:rPr>
              <w:t>Формирование и реализация финансовой стратегии компании</w:t>
            </w:r>
          </w:p>
        </w:tc>
      </w:tr>
      <w:tr w:rsidR="00503A17" w:rsidRPr="00503A17" w:rsidTr="00503A17">
        <w:trPr>
          <w:trHeight w:val="263"/>
        </w:trPr>
        <w:tc>
          <w:tcPr>
            <w:tcW w:w="499" w:type="dxa"/>
          </w:tcPr>
          <w:p w:rsidR="00503A17" w:rsidRPr="00503A17" w:rsidRDefault="00503A17" w:rsidP="00B2026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left"/>
              <w:rPr>
                <w:sz w:val="26"/>
                <w:szCs w:val="26"/>
              </w:rPr>
            </w:pPr>
          </w:p>
        </w:tc>
        <w:tc>
          <w:tcPr>
            <w:tcW w:w="8715" w:type="dxa"/>
          </w:tcPr>
          <w:p w:rsidR="00503A17" w:rsidRPr="00503A17" w:rsidRDefault="00503A17" w:rsidP="007B7A93">
            <w:pPr>
              <w:spacing w:after="200" w:line="240" w:lineRule="auto"/>
              <w:ind w:firstLine="0"/>
              <w:rPr>
                <w:sz w:val="26"/>
                <w:szCs w:val="26"/>
              </w:rPr>
            </w:pPr>
            <w:r w:rsidRPr="00503A17">
              <w:rPr>
                <w:sz w:val="26"/>
                <w:szCs w:val="26"/>
              </w:rPr>
              <w:t>Ценовая политики компании в условиях конкуренции</w:t>
            </w:r>
          </w:p>
        </w:tc>
      </w:tr>
      <w:tr w:rsidR="00503A17" w:rsidRPr="00503A17" w:rsidTr="00503A17">
        <w:trPr>
          <w:trHeight w:val="263"/>
        </w:trPr>
        <w:tc>
          <w:tcPr>
            <w:tcW w:w="499" w:type="dxa"/>
          </w:tcPr>
          <w:p w:rsidR="00503A17" w:rsidRPr="00503A17" w:rsidRDefault="00503A17" w:rsidP="00B2026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left"/>
              <w:rPr>
                <w:sz w:val="26"/>
                <w:szCs w:val="26"/>
              </w:rPr>
            </w:pPr>
          </w:p>
        </w:tc>
        <w:tc>
          <w:tcPr>
            <w:tcW w:w="8715" w:type="dxa"/>
          </w:tcPr>
          <w:p w:rsidR="00503A17" w:rsidRPr="00503A17" w:rsidRDefault="00503A17" w:rsidP="007B7A93">
            <w:pPr>
              <w:spacing w:after="200" w:line="276" w:lineRule="auto"/>
              <w:ind w:firstLine="0"/>
              <w:rPr>
                <w:sz w:val="26"/>
                <w:szCs w:val="26"/>
              </w:rPr>
            </w:pPr>
            <w:r w:rsidRPr="00503A17">
              <w:rPr>
                <w:sz w:val="26"/>
                <w:szCs w:val="26"/>
              </w:rPr>
              <w:t>Эффективная финансовая политика корпорации как фактор обеспечения её финансовой устойчивости</w:t>
            </w:r>
          </w:p>
        </w:tc>
      </w:tr>
    </w:tbl>
    <w:p w:rsidR="00C24133" w:rsidRDefault="00C24133" w:rsidP="00CF0A68">
      <w:pPr>
        <w:spacing w:line="240" w:lineRule="auto"/>
        <w:ind w:firstLine="0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5E44D8" w:rsidRDefault="005E44D8" w:rsidP="005E44D8">
      <w:pPr>
        <w:spacing w:line="240" w:lineRule="auto"/>
        <w:ind w:firstLine="709"/>
        <w:rPr>
          <w:rFonts w:eastAsia="Times New Roman" w:cs="Times New Roman"/>
          <w:color w:val="000000"/>
          <w:szCs w:val="28"/>
          <w:lang w:eastAsia="ru-RU"/>
        </w:rPr>
      </w:pPr>
    </w:p>
    <w:sectPr w:rsidR="005E44D8" w:rsidSect="000E435E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03942"/>
    <w:multiLevelType w:val="hybridMultilevel"/>
    <w:tmpl w:val="B186D6B4"/>
    <w:lvl w:ilvl="0" w:tplc="BC6E5C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C164E20"/>
    <w:multiLevelType w:val="hybridMultilevel"/>
    <w:tmpl w:val="AB1CF24E"/>
    <w:lvl w:ilvl="0" w:tplc="57501B96">
      <w:start w:val="10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1A10265"/>
    <w:multiLevelType w:val="hybridMultilevel"/>
    <w:tmpl w:val="3A82EE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345437"/>
    <w:multiLevelType w:val="hybridMultilevel"/>
    <w:tmpl w:val="FC1C8678"/>
    <w:lvl w:ilvl="0" w:tplc="4E1E3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6C4DC9"/>
    <w:multiLevelType w:val="hybridMultilevel"/>
    <w:tmpl w:val="E0360780"/>
    <w:lvl w:ilvl="0" w:tplc="4E1E3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9700F4"/>
    <w:multiLevelType w:val="hybridMultilevel"/>
    <w:tmpl w:val="BE183242"/>
    <w:lvl w:ilvl="0" w:tplc="E5FED6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C217AB1"/>
    <w:multiLevelType w:val="hybridMultilevel"/>
    <w:tmpl w:val="6018D994"/>
    <w:lvl w:ilvl="0" w:tplc="27A6902C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1E417C"/>
    <w:multiLevelType w:val="multilevel"/>
    <w:tmpl w:val="D056FFDE"/>
    <w:lvl w:ilvl="0">
      <w:start w:val="1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6295753"/>
    <w:multiLevelType w:val="multilevel"/>
    <w:tmpl w:val="A7CEF6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77444CE"/>
    <w:multiLevelType w:val="multilevel"/>
    <w:tmpl w:val="8D72B6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31F692C"/>
    <w:multiLevelType w:val="hybridMultilevel"/>
    <w:tmpl w:val="16A623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2119E9"/>
    <w:multiLevelType w:val="hybridMultilevel"/>
    <w:tmpl w:val="6958D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EA1FEA"/>
    <w:multiLevelType w:val="hybridMultilevel"/>
    <w:tmpl w:val="52E471B0"/>
    <w:lvl w:ilvl="0" w:tplc="D5B28B6C">
      <w:start w:val="1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170DD5"/>
    <w:multiLevelType w:val="multilevel"/>
    <w:tmpl w:val="997817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"/>
  </w:num>
  <w:num w:numId="5">
    <w:abstractNumId w:val="9"/>
  </w:num>
  <w:num w:numId="6">
    <w:abstractNumId w:val="8"/>
  </w:num>
  <w:num w:numId="7">
    <w:abstractNumId w:val="13"/>
  </w:num>
  <w:num w:numId="8">
    <w:abstractNumId w:val="3"/>
  </w:num>
  <w:num w:numId="9">
    <w:abstractNumId w:val="4"/>
  </w:num>
  <w:num w:numId="10">
    <w:abstractNumId w:val="6"/>
  </w:num>
  <w:num w:numId="11">
    <w:abstractNumId w:val="10"/>
  </w:num>
  <w:num w:numId="12">
    <w:abstractNumId w:val="12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7D6"/>
    <w:rsid w:val="000002CB"/>
    <w:rsid w:val="00082799"/>
    <w:rsid w:val="000A6979"/>
    <w:rsid w:val="000E435E"/>
    <w:rsid w:val="00143191"/>
    <w:rsid w:val="00166B17"/>
    <w:rsid w:val="001C0D1E"/>
    <w:rsid w:val="001C60DD"/>
    <w:rsid w:val="00204CCB"/>
    <w:rsid w:val="00206A89"/>
    <w:rsid w:val="00222887"/>
    <w:rsid w:val="002777D5"/>
    <w:rsid w:val="002C3904"/>
    <w:rsid w:val="003621C1"/>
    <w:rsid w:val="003A2D4B"/>
    <w:rsid w:val="003A3187"/>
    <w:rsid w:val="003B5FE5"/>
    <w:rsid w:val="003C42D9"/>
    <w:rsid w:val="00416DC7"/>
    <w:rsid w:val="004612FB"/>
    <w:rsid w:val="00462E51"/>
    <w:rsid w:val="004647D6"/>
    <w:rsid w:val="004E7D15"/>
    <w:rsid w:val="004F511D"/>
    <w:rsid w:val="00503A17"/>
    <w:rsid w:val="00522864"/>
    <w:rsid w:val="00564CCB"/>
    <w:rsid w:val="005B070B"/>
    <w:rsid w:val="005E44D8"/>
    <w:rsid w:val="006E3818"/>
    <w:rsid w:val="00793EC9"/>
    <w:rsid w:val="007B1AEE"/>
    <w:rsid w:val="007B7A93"/>
    <w:rsid w:val="007C30D8"/>
    <w:rsid w:val="008554D2"/>
    <w:rsid w:val="00867305"/>
    <w:rsid w:val="00884771"/>
    <w:rsid w:val="008B670A"/>
    <w:rsid w:val="008D4794"/>
    <w:rsid w:val="008E1F7E"/>
    <w:rsid w:val="00901740"/>
    <w:rsid w:val="0094306D"/>
    <w:rsid w:val="0099012F"/>
    <w:rsid w:val="00993E22"/>
    <w:rsid w:val="009D20FA"/>
    <w:rsid w:val="009D70B6"/>
    <w:rsid w:val="00AA4F01"/>
    <w:rsid w:val="00AA71A8"/>
    <w:rsid w:val="00B20265"/>
    <w:rsid w:val="00B226FE"/>
    <w:rsid w:val="00B37122"/>
    <w:rsid w:val="00B65C45"/>
    <w:rsid w:val="00BA199C"/>
    <w:rsid w:val="00C24133"/>
    <w:rsid w:val="00CE4360"/>
    <w:rsid w:val="00CF03B6"/>
    <w:rsid w:val="00CF0A68"/>
    <w:rsid w:val="00DB4702"/>
    <w:rsid w:val="00E74143"/>
    <w:rsid w:val="00E761E0"/>
    <w:rsid w:val="00E8389C"/>
    <w:rsid w:val="00EE0F4F"/>
    <w:rsid w:val="00EE4C5F"/>
    <w:rsid w:val="00F03BF1"/>
    <w:rsid w:val="00F539DD"/>
    <w:rsid w:val="00F8111E"/>
    <w:rsid w:val="00FC6D2F"/>
    <w:rsid w:val="00FD756A"/>
    <w:rsid w:val="00FF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C8A18"/>
  <w15:docId w15:val="{9187BA3D-0901-4C83-9CA7-0E670A773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7D6"/>
    <w:pPr>
      <w:spacing w:after="0" w:line="360" w:lineRule="auto"/>
      <w:ind w:firstLine="851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AEE"/>
    <w:pPr>
      <w:ind w:left="720"/>
      <w:contextualSpacing/>
    </w:pPr>
  </w:style>
  <w:style w:type="character" w:customStyle="1" w:styleId="a4">
    <w:name w:val="Основной текст_"/>
    <w:basedOn w:val="a0"/>
    <w:link w:val="15"/>
    <w:rsid w:val="001C0D1E"/>
    <w:rPr>
      <w:rFonts w:ascii="Times New Roman" w:eastAsia="Times New Roman" w:hAnsi="Times New Roman" w:cs="Times New Roman"/>
      <w:spacing w:val="2"/>
      <w:sz w:val="19"/>
      <w:szCs w:val="19"/>
      <w:shd w:val="clear" w:color="auto" w:fill="FFFFFF"/>
    </w:rPr>
  </w:style>
  <w:style w:type="paragraph" w:customStyle="1" w:styleId="15">
    <w:name w:val="Основной текст15"/>
    <w:basedOn w:val="a"/>
    <w:link w:val="a4"/>
    <w:rsid w:val="001C0D1E"/>
    <w:pPr>
      <w:widowControl w:val="0"/>
      <w:shd w:val="clear" w:color="auto" w:fill="FFFFFF"/>
      <w:spacing w:after="480" w:line="264" w:lineRule="exact"/>
      <w:ind w:hanging="400"/>
      <w:jc w:val="left"/>
    </w:pPr>
    <w:rPr>
      <w:rFonts w:eastAsia="Times New Roman" w:cs="Times New Roman"/>
      <w:spacing w:val="2"/>
      <w:sz w:val="19"/>
      <w:szCs w:val="19"/>
    </w:rPr>
  </w:style>
  <w:style w:type="character" w:customStyle="1" w:styleId="4">
    <w:name w:val="Основной текст (4)_"/>
    <w:basedOn w:val="a0"/>
    <w:link w:val="40"/>
    <w:rsid w:val="001C0D1E"/>
    <w:rPr>
      <w:rFonts w:ascii="Times New Roman" w:eastAsia="Times New Roman" w:hAnsi="Times New Roman" w:cs="Times New Roman"/>
      <w:b/>
      <w:bCs/>
      <w:i/>
      <w:iCs/>
      <w:spacing w:val="-1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C0D1E"/>
    <w:pPr>
      <w:widowControl w:val="0"/>
      <w:shd w:val="clear" w:color="auto" w:fill="FFFFFF"/>
      <w:spacing w:before="240" w:after="240" w:line="264" w:lineRule="exact"/>
      <w:ind w:firstLine="0"/>
    </w:pPr>
    <w:rPr>
      <w:rFonts w:eastAsia="Times New Roman" w:cs="Times New Roman"/>
      <w:b/>
      <w:bCs/>
      <w:i/>
      <w:iCs/>
      <w:spacing w:val="-1"/>
      <w:sz w:val="21"/>
      <w:szCs w:val="21"/>
    </w:rPr>
  </w:style>
  <w:style w:type="character" w:customStyle="1" w:styleId="6">
    <w:name w:val="Основной текст (6)_"/>
    <w:basedOn w:val="a0"/>
    <w:link w:val="60"/>
    <w:rsid w:val="00CF0A68"/>
    <w:rPr>
      <w:rFonts w:ascii="Times New Roman" w:eastAsia="Times New Roman" w:hAnsi="Times New Roman" w:cs="Times New Roman"/>
      <w:b/>
      <w:bCs/>
      <w:spacing w:val="2"/>
      <w:sz w:val="19"/>
      <w:szCs w:val="19"/>
      <w:shd w:val="clear" w:color="auto" w:fill="FFFFFF"/>
    </w:rPr>
  </w:style>
  <w:style w:type="character" w:customStyle="1" w:styleId="60pt">
    <w:name w:val="Основной текст (6) + Интервал 0 pt"/>
    <w:basedOn w:val="6"/>
    <w:rsid w:val="00CF0A6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60">
    <w:name w:val="Основной текст (6)"/>
    <w:basedOn w:val="a"/>
    <w:link w:val="6"/>
    <w:rsid w:val="00CF0A68"/>
    <w:pPr>
      <w:widowControl w:val="0"/>
      <w:shd w:val="clear" w:color="auto" w:fill="FFFFFF"/>
      <w:spacing w:after="540" w:line="0" w:lineRule="atLeast"/>
      <w:ind w:firstLine="0"/>
    </w:pPr>
    <w:rPr>
      <w:rFonts w:eastAsia="Times New Roman" w:cs="Times New Roman"/>
      <w:b/>
      <w:bCs/>
      <w:spacing w:val="2"/>
      <w:sz w:val="19"/>
      <w:szCs w:val="19"/>
    </w:rPr>
  </w:style>
  <w:style w:type="character" w:customStyle="1" w:styleId="12">
    <w:name w:val="Основной текст12"/>
    <w:basedOn w:val="a4"/>
    <w:rsid w:val="00CF0A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41">
    <w:name w:val="Заголовок №4_"/>
    <w:basedOn w:val="a0"/>
    <w:link w:val="42"/>
    <w:rsid w:val="00CF0A68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42">
    <w:name w:val="Заголовок №4"/>
    <w:basedOn w:val="a"/>
    <w:link w:val="41"/>
    <w:rsid w:val="00CF0A68"/>
    <w:pPr>
      <w:widowControl w:val="0"/>
      <w:shd w:val="clear" w:color="auto" w:fill="FFFFFF"/>
      <w:spacing w:line="264" w:lineRule="exact"/>
      <w:ind w:firstLine="0"/>
      <w:outlineLvl w:val="3"/>
    </w:pPr>
    <w:rPr>
      <w:rFonts w:eastAsia="Times New Roman" w:cs="Times New Roman"/>
      <w:b/>
      <w:bCs/>
      <w:sz w:val="19"/>
      <w:szCs w:val="19"/>
    </w:rPr>
  </w:style>
  <w:style w:type="character" w:customStyle="1" w:styleId="43">
    <w:name w:val="Колонтитул (4)_"/>
    <w:basedOn w:val="a0"/>
    <w:link w:val="44"/>
    <w:rsid w:val="00CF0A68"/>
    <w:rPr>
      <w:rFonts w:ascii="Times New Roman" w:eastAsia="Times New Roman" w:hAnsi="Times New Roman" w:cs="Times New Roman"/>
      <w:b/>
      <w:bCs/>
      <w:i/>
      <w:iCs/>
      <w:spacing w:val="-1"/>
      <w:sz w:val="21"/>
      <w:szCs w:val="21"/>
      <w:shd w:val="clear" w:color="auto" w:fill="FFFFFF"/>
    </w:rPr>
  </w:style>
  <w:style w:type="character" w:customStyle="1" w:styleId="40pt">
    <w:name w:val="Колонтитул (4) + Интервал 0 pt"/>
    <w:basedOn w:val="43"/>
    <w:rsid w:val="00CF0A68"/>
    <w:rPr>
      <w:rFonts w:ascii="Times New Roman" w:eastAsia="Times New Roman" w:hAnsi="Times New Roman" w:cs="Times New Roman"/>
      <w:b/>
      <w:bCs/>
      <w:i/>
      <w:iCs/>
      <w:color w:val="000000"/>
      <w:spacing w:val="1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44">
    <w:name w:val="Колонтитул (4)"/>
    <w:basedOn w:val="a"/>
    <w:link w:val="43"/>
    <w:rsid w:val="00CF0A68"/>
    <w:pPr>
      <w:widowControl w:val="0"/>
      <w:shd w:val="clear" w:color="auto" w:fill="FFFFFF"/>
      <w:spacing w:line="0" w:lineRule="atLeast"/>
      <w:ind w:firstLine="0"/>
      <w:jc w:val="left"/>
    </w:pPr>
    <w:rPr>
      <w:rFonts w:eastAsia="Times New Roman" w:cs="Times New Roman"/>
      <w:b/>
      <w:bCs/>
      <w:i/>
      <w:iCs/>
      <w:spacing w:val="-1"/>
      <w:sz w:val="21"/>
      <w:szCs w:val="21"/>
    </w:rPr>
  </w:style>
  <w:style w:type="table" w:styleId="a5">
    <w:name w:val="Table Grid"/>
    <w:basedOn w:val="a1"/>
    <w:uiPriority w:val="59"/>
    <w:rsid w:val="005B070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5"/>
    <w:uiPriority w:val="59"/>
    <w:rsid w:val="00EE4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0A6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rsid w:val="000A6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F511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F511D"/>
    <w:rPr>
      <w:rFonts w:ascii="Segoe UI" w:hAnsi="Segoe UI" w:cs="Segoe UI"/>
      <w:sz w:val="18"/>
      <w:szCs w:val="18"/>
    </w:rPr>
  </w:style>
  <w:style w:type="paragraph" w:customStyle="1" w:styleId="Pa7">
    <w:name w:val="Pa7"/>
    <w:basedOn w:val="a"/>
    <w:next w:val="a"/>
    <w:rsid w:val="00E761E0"/>
    <w:pPr>
      <w:autoSpaceDE w:val="0"/>
      <w:autoSpaceDN w:val="0"/>
      <w:adjustRightInd w:val="0"/>
      <w:spacing w:line="221" w:lineRule="atLeast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table" w:customStyle="1" w:styleId="45">
    <w:name w:val="Сетка таблицы4"/>
    <w:basedOn w:val="a1"/>
    <w:next w:val="a5"/>
    <w:uiPriority w:val="59"/>
    <w:rsid w:val="00C24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8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Горбачева Виктория Ивановна</dc:creator>
  <cp:lastModifiedBy>Светлана М. Николаенкова</cp:lastModifiedBy>
  <cp:revision>5</cp:revision>
  <cp:lastPrinted>2022-03-31T07:34:00Z</cp:lastPrinted>
  <dcterms:created xsi:type="dcterms:W3CDTF">2021-10-11T09:38:00Z</dcterms:created>
  <dcterms:modified xsi:type="dcterms:W3CDTF">2023-10-02T07:28:00Z</dcterms:modified>
</cp:coreProperties>
</file>