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A6" w:rsidRPr="00272507" w:rsidRDefault="00F14AA6" w:rsidP="00272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507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F14AA6" w:rsidRDefault="00317F70" w:rsidP="00272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Математические </w:t>
      </w:r>
      <w:r w:rsidR="0075638C">
        <w:rPr>
          <w:rFonts w:ascii="Times New Roman" w:hAnsi="Times New Roman" w:cs="Times New Roman"/>
          <w:b/>
          <w:sz w:val="28"/>
          <w:szCs w:val="28"/>
        </w:rPr>
        <w:t>методы</w:t>
      </w:r>
      <w:r w:rsidR="00F14AA6" w:rsidRPr="00272507">
        <w:rPr>
          <w:rFonts w:ascii="Times New Roman" w:hAnsi="Times New Roman" w:cs="Times New Roman"/>
          <w:b/>
          <w:sz w:val="28"/>
          <w:szCs w:val="28"/>
        </w:rPr>
        <w:t xml:space="preserve"> финансовых </w:t>
      </w:r>
      <w:r w:rsidR="0075638C">
        <w:rPr>
          <w:rFonts w:ascii="Times New Roman" w:hAnsi="Times New Roman" w:cs="Times New Roman"/>
          <w:b/>
          <w:sz w:val="28"/>
          <w:szCs w:val="28"/>
        </w:rPr>
        <w:t>расчетов</w:t>
      </w:r>
    </w:p>
    <w:p w:rsidR="00A37BFF" w:rsidRPr="00272507" w:rsidRDefault="00A37BFF" w:rsidP="002725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AA6" w:rsidRDefault="00F14AA6" w:rsidP="00317F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209D">
        <w:rPr>
          <w:rFonts w:ascii="Times New Roman" w:hAnsi="Times New Roman" w:cs="Times New Roman"/>
          <w:b/>
          <w:i/>
          <w:sz w:val="28"/>
          <w:szCs w:val="28"/>
        </w:rPr>
        <w:t>Цел</w:t>
      </w:r>
      <w:r w:rsidR="00317F70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B4209D">
        <w:rPr>
          <w:rFonts w:ascii="Times New Roman" w:hAnsi="Times New Roman" w:cs="Times New Roman"/>
          <w:b/>
          <w:i/>
          <w:sz w:val="28"/>
          <w:szCs w:val="28"/>
        </w:rPr>
        <w:t xml:space="preserve"> дисциплины: </w:t>
      </w:r>
    </w:p>
    <w:p w:rsidR="00317F70" w:rsidRPr="00B4209D" w:rsidRDefault="00317F70" w:rsidP="00317F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7F70" w:rsidRDefault="00317F70" w:rsidP="00BD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0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развитие теоретико-</w:t>
      </w:r>
      <w:r w:rsidRPr="00272507">
        <w:rPr>
          <w:rFonts w:ascii="Times New Roman" w:hAnsi="Times New Roman" w:cs="Times New Roman"/>
          <w:sz w:val="28"/>
          <w:szCs w:val="28"/>
        </w:rPr>
        <w:t>практической базы и формирование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507">
        <w:rPr>
          <w:rFonts w:ascii="Times New Roman" w:hAnsi="Times New Roman" w:cs="Times New Roman"/>
          <w:sz w:val="28"/>
          <w:szCs w:val="28"/>
        </w:rPr>
        <w:t xml:space="preserve">математической подготовки, необходимых для понимания идей применения финансовых </w:t>
      </w:r>
      <w:r w:rsidR="002E28A0">
        <w:rPr>
          <w:rFonts w:ascii="Times New Roman" w:hAnsi="Times New Roman" w:cs="Times New Roman"/>
          <w:sz w:val="28"/>
          <w:szCs w:val="28"/>
        </w:rPr>
        <w:t>расчетов</w:t>
      </w:r>
      <w:r w:rsidRPr="00272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экономике, финансах и бизнесе</w:t>
      </w:r>
      <w:r w:rsidR="00BD6FB2">
        <w:rPr>
          <w:rFonts w:ascii="Times New Roman" w:hAnsi="Times New Roman" w:cs="Times New Roman"/>
          <w:sz w:val="28"/>
          <w:szCs w:val="28"/>
        </w:rPr>
        <w:t xml:space="preserve">, для </w:t>
      </w:r>
      <w:r w:rsidR="00BD6FB2" w:rsidRPr="00317F70">
        <w:rPr>
          <w:rFonts w:ascii="Times New Roman" w:hAnsi="Times New Roman" w:cs="Times New Roman"/>
          <w:sz w:val="28"/>
          <w:szCs w:val="28"/>
        </w:rPr>
        <w:t>решения</w:t>
      </w:r>
      <w:r w:rsidR="00BD6FB2">
        <w:rPr>
          <w:rFonts w:ascii="Times New Roman" w:hAnsi="Times New Roman" w:cs="Times New Roman"/>
          <w:sz w:val="28"/>
          <w:szCs w:val="28"/>
        </w:rPr>
        <w:t xml:space="preserve"> задач финансового планирования.</w:t>
      </w:r>
    </w:p>
    <w:p w:rsidR="00317F70" w:rsidRDefault="00317F70" w:rsidP="00317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AA6" w:rsidRPr="00B4209D" w:rsidRDefault="0075638C" w:rsidP="0027250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Место дисциплины в структуре </w:t>
      </w:r>
      <w:r w:rsidR="00F14AA6" w:rsidRPr="00B4209D">
        <w:rPr>
          <w:rFonts w:ascii="Times New Roman" w:hAnsi="Times New Roman" w:cs="Times New Roman"/>
          <w:b/>
          <w:i/>
          <w:sz w:val="28"/>
          <w:szCs w:val="28"/>
        </w:rPr>
        <w:t xml:space="preserve">ОП: </w:t>
      </w:r>
    </w:p>
    <w:p w:rsidR="0075638C" w:rsidRPr="0075638C" w:rsidRDefault="00F14AA6" w:rsidP="0075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507">
        <w:rPr>
          <w:rFonts w:ascii="Times New Roman" w:hAnsi="Times New Roman" w:cs="Times New Roman"/>
          <w:sz w:val="28"/>
          <w:szCs w:val="28"/>
        </w:rPr>
        <w:t xml:space="preserve">- </w:t>
      </w:r>
      <w:r w:rsidR="0075638C">
        <w:rPr>
          <w:rFonts w:ascii="Times New Roman" w:hAnsi="Times New Roman" w:cs="Times New Roman"/>
          <w:sz w:val="28"/>
          <w:szCs w:val="28"/>
        </w:rPr>
        <w:t>д</w:t>
      </w:r>
      <w:r w:rsidR="0075638C" w:rsidRPr="0075638C">
        <w:rPr>
          <w:rFonts w:ascii="TimesNewRomanPSMT" w:eastAsia="Calibri" w:hAnsi="TimesNewRomanPSMT" w:cs="TimesNewRomanPSMT"/>
          <w:sz w:val="28"/>
          <w:szCs w:val="28"/>
        </w:rPr>
        <w:t xml:space="preserve">исциплина </w:t>
      </w:r>
      <w:r w:rsidR="0075638C" w:rsidRPr="0075638C">
        <w:rPr>
          <w:rFonts w:ascii="Times New Roman" w:eastAsia="Calibri" w:hAnsi="Times New Roman" w:cs="Times New Roman"/>
          <w:sz w:val="28"/>
          <w:szCs w:val="28"/>
        </w:rPr>
        <w:t>м</w:t>
      </w:r>
      <w:r w:rsidR="0075638C" w:rsidRPr="0075638C">
        <w:rPr>
          <w:rFonts w:ascii="TimesNewRomanPSMT" w:eastAsia="Calibri" w:hAnsi="TimesNewRomanPSMT" w:cs="TimesNewRomanPSMT"/>
          <w:sz w:val="28"/>
          <w:szCs w:val="28"/>
        </w:rPr>
        <w:t xml:space="preserve">одуля инвариантных для направления подготовки дисциплин, отражающих специфику филиала, вариативной части ОП по направлению подготовки </w:t>
      </w:r>
      <w:r w:rsidR="0075638C" w:rsidRPr="00756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38.04.01 Экономика, магистерские программы:  </w:t>
      </w:r>
      <w:r w:rsidR="00756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5638C" w:rsidRPr="00756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Учет, анализ</w:t>
      </w:r>
      <w:r w:rsidR="00AD3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75638C" w:rsidRPr="00756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</w:t>
      </w:r>
      <w:r w:rsidR="00756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5638C" w:rsidRPr="00756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5638C" w:rsidRPr="0075638C">
        <w:rPr>
          <w:rFonts w:ascii="Calibri" w:eastAsia="Calibri" w:hAnsi="Calibri" w:cs="Times New Roman"/>
        </w:rPr>
        <w:t xml:space="preserve"> </w:t>
      </w:r>
      <w:r w:rsidR="0075638C">
        <w:rPr>
          <w:rFonts w:ascii="Calibri" w:eastAsia="Calibri" w:hAnsi="Calibri" w:cs="Times New Roman"/>
        </w:rPr>
        <w:t>«</w:t>
      </w:r>
      <w:r w:rsidR="0075638C" w:rsidRPr="00756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Налоги. Бухгалтерский учет. Налоговый консалтинг</w:t>
      </w:r>
      <w:r w:rsidR="00756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5638C" w:rsidRPr="00756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878" w:rsidRPr="00A53878" w:rsidRDefault="00A53878" w:rsidP="00A538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AA6" w:rsidRDefault="00F14AA6" w:rsidP="0027250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209D">
        <w:rPr>
          <w:rFonts w:ascii="Times New Roman" w:hAnsi="Times New Roman" w:cs="Times New Roman"/>
          <w:b/>
          <w:i/>
          <w:sz w:val="28"/>
          <w:szCs w:val="28"/>
        </w:rPr>
        <w:t xml:space="preserve">Краткое содержание: </w:t>
      </w: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75638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Тема 1. Процентные вычисления</w:t>
      </w: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Простые и сложные проценты. Сравнение наращения по простой и сложной ставкам процента. Кратное начисление процентов. </w:t>
      </w:r>
      <w:r w:rsidRPr="0075638C">
        <w:rPr>
          <w:rFonts w:ascii="TimesNewRomanPSMT" w:eastAsia="Calibri" w:hAnsi="TimesNewRomanPSMT" w:cs="TimesNewRomanPSMT"/>
          <w:sz w:val="28"/>
          <w:szCs w:val="28"/>
        </w:rPr>
        <w:t xml:space="preserve">Эффективные и номинальные процентные ставки. Эквивалентность процентных ставок. </w:t>
      </w:r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Непрерывное начисление процентов. Увеличение капитала в произвольное число раз. Дисконтирование и удержание процентов. Учетная ставка. Сравнение дисконтирования по сложной и простой учетной ставкам. Мультиплицирующие и дисконтирующие множители. </w:t>
      </w:r>
      <w:r w:rsidRPr="0075638C">
        <w:rPr>
          <w:rFonts w:ascii="TimesNewRomanPSMT" w:eastAsia="Calibri" w:hAnsi="TimesNewRomanPSMT" w:cs="TimesNewRomanPSMT"/>
          <w:sz w:val="28"/>
          <w:szCs w:val="28"/>
        </w:rPr>
        <w:t xml:space="preserve">Начисление процентов в условиях инфляции. </w:t>
      </w:r>
      <w:r w:rsidRPr="0075638C">
        <w:rPr>
          <w:rFonts w:ascii="Times New Roman" w:eastAsia="Calibri" w:hAnsi="Times New Roman" w:cs="Times New Roman"/>
          <w:sz w:val="28"/>
          <w:szCs w:val="28"/>
        </w:rPr>
        <w:t>Темп инфляции за несколько периодов.</w:t>
      </w:r>
      <w:r w:rsidRPr="0075638C">
        <w:rPr>
          <w:rFonts w:ascii="TimesNewRomanPSMT" w:eastAsia="Calibri" w:hAnsi="TimesNewRomanPSMT" w:cs="TimesNewRomanPSMT"/>
          <w:sz w:val="28"/>
          <w:szCs w:val="28"/>
        </w:rPr>
        <w:t xml:space="preserve"> Формула Фишера. </w:t>
      </w:r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 Учет налогов и начисление процентов. Операции с валютой и начисление процентов. Переменная сумма счета и начисление процентов. Инструменты денежного рынка: векселя и депозитные сертификаты.</w:t>
      </w: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75638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Тема 2. Потоки платежей</w:t>
      </w: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Понятие финансового потока. Наращенная и приведенная  величины финансового потока. Непрерывные потоки платежей. Регулярные потоки платежей, финансовые ренты. Обыкновенные ренты. Ренты </w:t>
      </w:r>
      <w:proofErr w:type="spellStart"/>
      <w:r w:rsidRPr="0075638C">
        <w:rPr>
          <w:rFonts w:ascii="Times New Roman" w:eastAsia="Calibri" w:hAnsi="Times New Roman" w:cs="Times New Roman"/>
          <w:sz w:val="28"/>
          <w:szCs w:val="28"/>
        </w:rPr>
        <w:t>постнумерандо</w:t>
      </w:r>
      <w:proofErr w:type="spellEnd"/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75638C">
        <w:rPr>
          <w:rFonts w:ascii="Times New Roman" w:eastAsia="Calibri" w:hAnsi="Times New Roman" w:cs="Times New Roman"/>
          <w:sz w:val="28"/>
          <w:szCs w:val="28"/>
        </w:rPr>
        <w:t>пренумерандо</w:t>
      </w:r>
      <w:proofErr w:type="spellEnd"/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. Коэффициенты приведения и наращения рент. Связь между приведенной величиной и наращенной суммой аннуитета. Связь между коэффициентами приведения и наращения рент </w:t>
      </w:r>
      <w:proofErr w:type="spellStart"/>
      <w:r w:rsidRPr="0075638C">
        <w:rPr>
          <w:rFonts w:ascii="Times New Roman" w:eastAsia="Calibri" w:hAnsi="Times New Roman" w:cs="Times New Roman"/>
          <w:sz w:val="28"/>
          <w:szCs w:val="28"/>
        </w:rPr>
        <w:t>пренумерандо</w:t>
      </w:r>
      <w:proofErr w:type="spellEnd"/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75638C">
        <w:rPr>
          <w:rFonts w:ascii="Times New Roman" w:eastAsia="Calibri" w:hAnsi="Times New Roman" w:cs="Times New Roman"/>
          <w:sz w:val="28"/>
          <w:szCs w:val="28"/>
        </w:rPr>
        <w:t>постнумерандо</w:t>
      </w:r>
      <w:proofErr w:type="spellEnd"/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. Вечные, кратные, срочные ренты.  </w:t>
      </w:r>
      <w:proofErr w:type="gramStart"/>
      <w:r w:rsidRPr="0075638C">
        <w:rPr>
          <w:rFonts w:ascii="Times New Roman" w:eastAsia="Calibri" w:hAnsi="Times New Roman" w:cs="Times New Roman"/>
          <w:i/>
          <w:iCs/>
          <w:sz w:val="28"/>
          <w:szCs w:val="28"/>
        </w:rPr>
        <w:t>р</w:t>
      </w:r>
      <w:proofErr w:type="gramEnd"/>
      <w:r w:rsidRPr="0075638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– срочная рента (случаи </w:t>
      </w:r>
      <w:r w:rsidRPr="0075638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k </w:t>
      </w:r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= 1, </w:t>
      </w:r>
      <w:r w:rsidRPr="0075638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k </w:t>
      </w:r>
      <w:r w:rsidRPr="0075638C">
        <w:rPr>
          <w:rFonts w:ascii="Times New Roman" w:eastAsia="SymbolMT" w:hAnsi="Times New Roman" w:cs="Times New Roman"/>
          <w:sz w:val="28"/>
          <w:szCs w:val="28"/>
        </w:rPr>
        <w:t xml:space="preserve">≠ </w:t>
      </w:r>
      <w:r w:rsidRPr="0075638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p </w:t>
      </w:r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5638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k = p </w:t>
      </w:r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). Связь между приведенной и наращенной величинами </w:t>
      </w:r>
      <w:r w:rsidRPr="0075638C">
        <w:rPr>
          <w:rFonts w:ascii="Times New Roman" w:eastAsia="Calibri" w:hAnsi="Times New Roman" w:cs="Times New Roman"/>
          <w:i/>
          <w:iCs/>
          <w:sz w:val="28"/>
          <w:szCs w:val="28"/>
        </w:rPr>
        <w:t>p-</w:t>
      </w:r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срочной ренты (случаи </w:t>
      </w:r>
      <w:r w:rsidRPr="0075638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k </w:t>
      </w:r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= 1, </w:t>
      </w:r>
      <w:r w:rsidRPr="0075638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k </w:t>
      </w:r>
      <w:r w:rsidRPr="0075638C">
        <w:rPr>
          <w:rFonts w:ascii="Times New Roman" w:eastAsia="SymbolMT" w:hAnsi="Times New Roman" w:cs="Times New Roman"/>
          <w:sz w:val="28"/>
          <w:szCs w:val="28"/>
        </w:rPr>
        <w:t xml:space="preserve">≠ </w:t>
      </w:r>
      <w:r w:rsidRPr="0075638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p </w:t>
      </w:r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5638C">
        <w:rPr>
          <w:rFonts w:ascii="Times New Roman" w:eastAsia="Calibri" w:hAnsi="Times New Roman" w:cs="Times New Roman"/>
          <w:i/>
          <w:iCs/>
          <w:sz w:val="28"/>
          <w:szCs w:val="28"/>
        </w:rPr>
        <w:t>k=p</w:t>
      </w:r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). Непрерывные ренты. Общий принцип сравнения финансовых потоков и рент. Сравнение годовых и </w:t>
      </w:r>
      <w:r w:rsidRPr="0075638C">
        <w:rPr>
          <w:rFonts w:ascii="Times New Roman" w:eastAsia="Calibri" w:hAnsi="Times New Roman" w:cs="Times New Roman"/>
          <w:sz w:val="28"/>
          <w:szCs w:val="28"/>
        </w:rPr>
        <w:lastRenderedPageBreak/>
        <w:t>срочных рент. Конверсия рент. Замена одной ренты другой. Изменение параметров ренты. Замена обычной ренты срочной. Консолидация рент. Выкуп ренты. Рассрочка платежа.</w:t>
      </w: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75638C">
        <w:rPr>
          <w:rFonts w:ascii="TimesNewRomanPSMT" w:eastAsia="Calibri" w:hAnsi="TimesNewRomanPSMT" w:cs="TimesNewRomanPSMT"/>
          <w:sz w:val="28"/>
          <w:szCs w:val="28"/>
        </w:rPr>
        <w:t xml:space="preserve">Погашение задолженности частями: дифференцированные и </w:t>
      </w:r>
      <w:proofErr w:type="spellStart"/>
      <w:r w:rsidRPr="0075638C">
        <w:rPr>
          <w:rFonts w:ascii="TimesNewRomanPSMT" w:eastAsia="Calibri" w:hAnsi="TimesNewRomanPSMT" w:cs="TimesNewRomanPSMT"/>
          <w:sz w:val="28"/>
          <w:szCs w:val="28"/>
        </w:rPr>
        <w:t>аннуитентные</w:t>
      </w:r>
      <w:proofErr w:type="spellEnd"/>
      <w:r w:rsidRPr="0075638C">
        <w:rPr>
          <w:rFonts w:ascii="TimesNewRomanPSMT" w:eastAsia="Calibri" w:hAnsi="TimesNewRomanPSMT" w:cs="TimesNewRomanPSMT"/>
          <w:sz w:val="28"/>
          <w:szCs w:val="28"/>
        </w:rPr>
        <w:t xml:space="preserve"> платежи. Потребительские кредиты. </w:t>
      </w: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75638C">
        <w:rPr>
          <w:rFonts w:ascii="TimesNewRomanPSMT" w:eastAsia="Calibri" w:hAnsi="TimesNewRomanPSMT" w:cs="TimesNewRomanPSMT"/>
          <w:sz w:val="28"/>
          <w:szCs w:val="28"/>
        </w:rPr>
        <w:t>Внутренняя норма доходности (IRR) и чистая приведённая стоимость</w:t>
      </w: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75638C">
        <w:rPr>
          <w:rFonts w:ascii="TimesNewRomanPSMT" w:eastAsia="Calibri" w:hAnsi="TimesNewRomanPSMT" w:cs="TimesNewRomanPSMT"/>
          <w:sz w:val="28"/>
          <w:szCs w:val="28"/>
        </w:rPr>
        <w:t xml:space="preserve">(NPV) инвестиционных потоков. Анализ эффективности инвестиций с помощью IRR и NPV. </w:t>
      </w: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75638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Тема 3. Облигации</w:t>
      </w: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5638C">
        <w:rPr>
          <w:rFonts w:ascii="TimesNewRomanPSMT" w:eastAsia="Calibri" w:hAnsi="TimesNewRomanPSMT" w:cs="TimesNewRomanPSMT"/>
          <w:sz w:val="28"/>
          <w:szCs w:val="28"/>
        </w:rPr>
        <w:t>Купонная и бескупонная облигации:</w:t>
      </w:r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 основные понятия. Текущая стоимость облигации. </w:t>
      </w:r>
      <w:r w:rsidRPr="0075638C">
        <w:rPr>
          <w:rFonts w:ascii="TimesNewRomanPSMT" w:eastAsia="Calibri" w:hAnsi="TimesNewRomanPSMT" w:cs="TimesNewRomanPSMT"/>
          <w:sz w:val="28"/>
          <w:szCs w:val="28"/>
        </w:rPr>
        <w:t>Рыночная цена</w:t>
      </w:r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. Курс облигации. Текущая доходность и доходность к погашению. Дополнительные характеристики облигации: средний срок поступления дохода; </w:t>
      </w:r>
      <w:proofErr w:type="spellStart"/>
      <w:r w:rsidRPr="0075638C">
        <w:rPr>
          <w:rFonts w:ascii="Times New Roman" w:eastAsia="Calibri" w:hAnsi="Times New Roman" w:cs="Times New Roman"/>
          <w:sz w:val="28"/>
          <w:szCs w:val="28"/>
        </w:rPr>
        <w:t>дюрация</w:t>
      </w:r>
      <w:proofErr w:type="spellEnd"/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 облигац</w:t>
      </w:r>
      <w:proofErr w:type="gramStart"/>
      <w:r w:rsidRPr="0075638C">
        <w:rPr>
          <w:rFonts w:ascii="Times New Roman" w:eastAsia="Calibri" w:hAnsi="Times New Roman" w:cs="Times New Roman"/>
          <w:sz w:val="28"/>
          <w:szCs w:val="28"/>
        </w:rPr>
        <w:t>ии и ее</w:t>
      </w:r>
      <w:proofErr w:type="gramEnd"/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 свойства. </w:t>
      </w:r>
      <w:r w:rsidRPr="007563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Накопленный купон, чистая и грязная цены облигации. Облигации с плавающей купонной ставкой. Теоретическая цена облигации. </w:t>
      </w:r>
      <w:proofErr w:type="spellStart"/>
      <w:r w:rsidRPr="0075638C">
        <w:rPr>
          <w:rFonts w:ascii="Times New Roman" w:eastAsia="Calibri" w:hAnsi="Times New Roman" w:cs="Times New Roman"/>
          <w:sz w:val="28"/>
          <w:szCs w:val="28"/>
        </w:rPr>
        <w:t>Дюрация</w:t>
      </w:r>
      <w:proofErr w:type="spellEnd"/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 Фишера-Вейля.</w:t>
      </w: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Портфель облигаций. Доходность портфеля облигаций. Средний срок поступления дохода от портфеля облигаций. Иммунизация портфеля облигаций. </w:t>
      </w:r>
      <w:proofErr w:type="spellStart"/>
      <w:r w:rsidRPr="0075638C">
        <w:rPr>
          <w:rFonts w:ascii="Times New Roman" w:eastAsia="Calibri" w:hAnsi="Times New Roman" w:cs="Times New Roman"/>
          <w:sz w:val="28"/>
          <w:szCs w:val="28"/>
        </w:rPr>
        <w:t>Дюрация</w:t>
      </w:r>
      <w:proofErr w:type="spellEnd"/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 портфеля облигаций. </w:t>
      </w: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</w:pP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5638C">
        <w:rPr>
          <w:rFonts w:ascii="Times New Roman" w:eastAsia="Calibri" w:hAnsi="Times New Roman" w:cs="Times New Roman"/>
          <w:b/>
          <w:i/>
          <w:sz w:val="28"/>
          <w:szCs w:val="28"/>
        </w:rPr>
        <w:t>Тема 4. Производные финансовые инструменты</w:t>
      </w: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Понятие о производных финансовых инструментах, их классификация. Опционы </w:t>
      </w:r>
      <w:proofErr w:type="spellStart"/>
      <w:r w:rsidRPr="0075638C">
        <w:rPr>
          <w:rFonts w:ascii="Times New Roman" w:eastAsia="Calibri" w:hAnsi="Times New Roman" w:cs="Times New Roman"/>
          <w:sz w:val="28"/>
          <w:szCs w:val="28"/>
        </w:rPr>
        <w:t>колл</w:t>
      </w:r>
      <w:proofErr w:type="spellEnd"/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 и пут. Ценообразование опционов. Формула </w:t>
      </w:r>
      <w:proofErr w:type="spellStart"/>
      <w:r w:rsidRPr="0075638C">
        <w:rPr>
          <w:rFonts w:ascii="Times New Roman" w:eastAsia="Calibri" w:hAnsi="Times New Roman" w:cs="Times New Roman"/>
          <w:sz w:val="28"/>
          <w:szCs w:val="28"/>
        </w:rPr>
        <w:t>Блэка-Шоулза</w:t>
      </w:r>
      <w:proofErr w:type="spellEnd"/>
      <w:r w:rsidRPr="0075638C">
        <w:rPr>
          <w:rFonts w:ascii="Times New Roman" w:eastAsia="Calibri" w:hAnsi="Times New Roman" w:cs="Times New Roman"/>
          <w:sz w:val="28"/>
          <w:szCs w:val="28"/>
        </w:rPr>
        <w:t>. Основные стратегии в опционах: стратегии хедж, спред и комбинация. Арбитраж при оценке стоимости опционов. Меры чувствительности опционов. Барьерные опционы. Опционы на индексы акций. Форварды, фьючерсы, опционы на фьючерсы, свопы.</w:t>
      </w: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638C">
        <w:rPr>
          <w:rFonts w:ascii="Times New Roman" w:eastAsia="Calibri" w:hAnsi="Times New Roman" w:cs="Times New Roman"/>
          <w:b/>
          <w:sz w:val="28"/>
          <w:szCs w:val="28"/>
        </w:rPr>
        <w:t>РАЗДЕЛ 2. Портфельный анализ</w:t>
      </w: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75638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Тема 5. Доходность и риск финансовой операции</w:t>
      </w: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38C">
        <w:rPr>
          <w:rFonts w:ascii="Times New Roman" w:eastAsia="Calibri" w:hAnsi="Times New Roman" w:cs="Times New Roman"/>
          <w:sz w:val="28"/>
          <w:szCs w:val="28"/>
        </w:rPr>
        <w:t>Доходность финансовой операции. Доходность за несколько периодов. Синергетический эффект. Риск финансовой операции. Количественная оценка риска финансовой операции. Коррелированность финансовых операций. Другие меры риска. Стоимость под риском (</w:t>
      </w:r>
      <w:proofErr w:type="spellStart"/>
      <w:r w:rsidRPr="0075638C">
        <w:rPr>
          <w:rFonts w:ascii="Times New Roman" w:eastAsia="Calibri" w:hAnsi="Times New Roman" w:cs="Times New Roman"/>
          <w:sz w:val="28"/>
          <w:szCs w:val="28"/>
        </w:rPr>
        <w:t>Value</w:t>
      </w:r>
      <w:proofErr w:type="spellEnd"/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638C">
        <w:rPr>
          <w:rFonts w:ascii="Times New Roman" w:eastAsia="Calibri" w:hAnsi="Times New Roman" w:cs="Times New Roman"/>
          <w:sz w:val="28"/>
          <w:szCs w:val="28"/>
        </w:rPr>
        <w:t>at</w:t>
      </w:r>
      <w:proofErr w:type="spellEnd"/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638C">
        <w:rPr>
          <w:rFonts w:ascii="Times New Roman" w:eastAsia="Calibri" w:hAnsi="Times New Roman" w:cs="Times New Roman"/>
          <w:sz w:val="28"/>
          <w:szCs w:val="28"/>
        </w:rPr>
        <w:t>risk</w:t>
      </w:r>
      <w:proofErr w:type="spellEnd"/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5638C">
        <w:rPr>
          <w:rFonts w:ascii="Times New Roman" w:eastAsia="Calibri" w:hAnsi="Times New Roman" w:cs="Times New Roman"/>
          <w:sz w:val="28"/>
          <w:szCs w:val="28"/>
        </w:rPr>
        <w:t>VaR</w:t>
      </w:r>
      <w:proofErr w:type="spellEnd"/>
      <w:r w:rsidRPr="0075638C">
        <w:rPr>
          <w:rFonts w:ascii="Times New Roman" w:eastAsia="Calibri" w:hAnsi="Times New Roman" w:cs="Times New Roman"/>
          <w:sz w:val="28"/>
          <w:szCs w:val="28"/>
        </w:rPr>
        <w:t>), эконометрические методы ее оценки. Виды финансовых рисков. Методы уменьшения риска финансовых операций (диверсификация, хеджирование, опционы, страхование).</w:t>
      </w: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3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Финансовые операции в условиях неопределенности. Матрицы последствий и рисков. Оптимальная (по Парето) финансовая операция. Принятие решений в условиях полной неопределенности. Правила  </w:t>
      </w:r>
      <w:proofErr w:type="spellStart"/>
      <w:r w:rsidRPr="0075638C">
        <w:rPr>
          <w:rFonts w:ascii="Times New Roman" w:eastAsia="Calibri" w:hAnsi="Times New Roman" w:cs="Times New Roman"/>
          <w:sz w:val="28"/>
          <w:szCs w:val="28"/>
        </w:rPr>
        <w:t>Вальда</w:t>
      </w:r>
      <w:proofErr w:type="spellEnd"/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5638C">
        <w:rPr>
          <w:rFonts w:ascii="Times New Roman" w:eastAsia="Calibri" w:hAnsi="Times New Roman" w:cs="Times New Roman"/>
          <w:sz w:val="28"/>
          <w:szCs w:val="28"/>
        </w:rPr>
        <w:t>Сэвиджа</w:t>
      </w:r>
      <w:proofErr w:type="spellEnd"/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, Гурвица. Принятие решений в условиях частичной неопределенности. Правило максимизации среднего ожидаемого дохода. </w:t>
      </w:r>
      <w:r w:rsidRPr="007563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Правило минимизации среднего ожидаемого риска. Правило Лапласа </w:t>
      </w:r>
      <w:proofErr w:type="spellStart"/>
      <w:r w:rsidRPr="0075638C">
        <w:rPr>
          <w:rFonts w:ascii="Times New Roman" w:eastAsia="Calibri" w:hAnsi="Times New Roman" w:cs="Times New Roman"/>
          <w:sz w:val="28"/>
          <w:szCs w:val="28"/>
        </w:rPr>
        <w:t>равновозможности</w:t>
      </w:r>
      <w:proofErr w:type="spellEnd"/>
      <w:r w:rsidRPr="0075638C">
        <w:rPr>
          <w:rFonts w:ascii="Times New Roman" w:eastAsia="Calibri" w:hAnsi="Times New Roman" w:cs="Times New Roman"/>
          <w:sz w:val="28"/>
          <w:szCs w:val="28"/>
        </w:rPr>
        <w:t>. Критерий Байеса-Лапласа.</w:t>
      </w: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75638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Тема 6. Портфель  ценных бумаг</w:t>
      </w: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Доходность ценной бумаги и портфеля. Портфель из двух бумаг. Случай полной корреляции. Случай </w:t>
      </w:r>
      <w:proofErr w:type="gramStart"/>
      <w:r w:rsidRPr="0075638C">
        <w:rPr>
          <w:rFonts w:ascii="Times New Roman" w:eastAsia="Calibri" w:hAnsi="Times New Roman" w:cs="Times New Roman"/>
          <w:sz w:val="28"/>
          <w:szCs w:val="28"/>
        </w:rPr>
        <w:t>полной</w:t>
      </w:r>
      <w:proofErr w:type="gramEnd"/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638C">
        <w:rPr>
          <w:rFonts w:ascii="Times New Roman" w:eastAsia="Calibri" w:hAnsi="Times New Roman" w:cs="Times New Roman"/>
          <w:sz w:val="28"/>
          <w:szCs w:val="28"/>
        </w:rPr>
        <w:t>антикорреляции</w:t>
      </w:r>
      <w:proofErr w:type="spellEnd"/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. Независимые бумаги. Три независимые бумаги. </w:t>
      </w:r>
      <w:proofErr w:type="spellStart"/>
      <w:r w:rsidRPr="0075638C">
        <w:rPr>
          <w:rFonts w:ascii="Times New Roman" w:eastAsia="Calibri" w:hAnsi="Times New Roman" w:cs="Times New Roman"/>
          <w:sz w:val="28"/>
          <w:szCs w:val="28"/>
        </w:rPr>
        <w:t>Безрисковая</w:t>
      </w:r>
      <w:proofErr w:type="spellEnd"/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 бумага. Портфель заданной эффективности. Портфель заданного риска. </w:t>
      </w:r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3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Портфели из </w:t>
      </w:r>
      <w:r w:rsidRPr="0075638C">
        <w:rPr>
          <w:rFonts w:ascii="Times New Roman" w:eastAsia="Calibri" w:hAnsi="Times New Roman" w:cs="Times New Roman"/>
          <w:i/>
          <w:iCs/>
          <w:sz w:val="28"/>
          <w:szCs w:val="28"/>
        </w:rPr>
        <w:t>n</w:t>
      </w:r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–бумаг. Портфели </w:t>
      </w:r>
      <w:proofErr w:type="spellStart"/>
      <w:r w:rsidRPr="0075638C">
        <w:rPr>
          <w:rFonts w:ascii="Times New Roman" w:eastAsia="Calibri" w:hAnsi="Times New Roman" w:cs="Times New Roman"/>
          <w:sz w:val="28"/>
          <w:szCs w:val="28"/>
        </w:rPr>
        <w:t>Марковица</w:t>
      </w:r>
      <w:proofErr w:type="spellEnd"/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. Портфель </w:t>
      </w:r>
      <w:proofErr w:type="gramStart"/>
      <w:r w:rsidRPr="0075638C">
        <w:rPr>
          <w:rFonts w:ascii="Times New Roman" w:eastAsia="Calibri" w:hAnsi="Times New Roman" w:cs="Times New Roman"/>
          <w:sz w:val="28"/>
          <w:szCs w:val="28"/>
        </w:rPr>
        <w:t>минимального</w:t>
      </w:r>
      <w:proofErr w:type="gramEnd"/>
    </w:p>
    <w:p w:rsidR="0075638C" w:rsidRPr="0075638C" w:rsidRDefault="0075638C" w:rsidP="0075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38C">
        <w:rPr>
          <w:rFonts w:ascii="Times New Roman" w:eastAsia="Calibri" w:hAnsi="Times New Roman" w:cs="Times New Roman"/>
          <w:sz w:val="28"/>
          <w:szCs w:val="28"/>
        </w:rPr>
        <w:t>риска при заданной его эффективности. Минимальная граница и ее свойства.</w:t>
      </w:r>
    </w:p>
    <w:p w:rsidR="00B01F62" w:rsidRPr="00B01F62" w:rsidRDefault="0075638C" w:rsidP="007563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3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Портфели </w:t>
      </w:r>
      <w:proofErr w:type="spellStart"/>
      <w:r w:rsidRPr="0075638C">
        <w:rPr>
          <w:rFonts w:ascii="Times New Roman" w:eastAsia="Calibri" w:hAnsi="Times New Roman" w:cs="Times New Roman"/>
          <w:sz w:val="28"/>
          <w:szCs w:val="28"/>
        </w:rPr>
        <w:t>Тобина</w:t>
      </w:r>
      <w:proofErr w:type="spellEnd"/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. Портфель </w:t>
      </w:r>
      <w:proofErr w:type="spellStart"/>
      <w:r w:rsidRPr="0075638C">
        <w:rPr>
          <w:rFonts w:ascii="Times New Roman" w:eastAsia="Calibri" w:hAnsi="Times New Roman" w:cs="Times New Roman"/>
          <w:sz w:val="28"/>
          <w:szCs w:val="28"/>
        </w:rPr>
        <w:t>Тобина</w:t>
      </w:r>
      <w:proofErr w:type="spellEnd"/>
      <w:r w:rsidRPr="0075638C">
        <w:rPr>
          <w:rFonts w:ascii="Times New Roman" w:eastAsia="Calibri" w:hAnsi="Times New Roman" w:cs="Times New Roman"/>
          <w:sz w:val="28"/>
          <w:szCs w:val="28"/>
        </w:rPr>
        <w:t xml:space="preserve"> минимального риска из всех портфелей заданной эффективности, касательный портфель.</w:t>
      </w:r>
    </w:p>
    <w:p w:rsidR="00B01F62" w:rsidRDefault="00B01F62" w:rsidP="0027250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01F62" w:rsidSect="005A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A6"/>
    <w:rsid w:val="000D6439"/>
    <w:rsid w:val="00127F07"/>
    <w:rsid w:val="00272507"/>
    <w:rsid w:val="002E28A0"/>
    <w:rsid w:val="00317F70"/>
    <w:rsid w:val="00380B87"/>
    <w:rsid w:val="004E4B36"/>
    <w:rsid w:val="00505696"/>
    <w:rsid w:val="00514587"/>
    <w:rsid w:val="005A53F1"/>
    <w:rsid w:val="005B7C4D"/>
    <w:rsid w:val="0075638C"/>
    <w:rsid w:val="00883652"/>
    <w:rsid w:val="00A37BFF"/>
    <w:rsid w:val="00A53878"/>
    <w:rsid w:val="00AD392E"/>
    <w:rsid w:val="00B01F62"/>
    <w:rsid w:val="00B4209D"/>
    <w:rsid w:val="00BD6FB2"/>
    <w:rsid w:val="00C8326F"/>
    <w:rsid w:val="00D76529"/>
    <w:rsid w:val="00D923FE"/>
    <w:rsid w:val="00DF19BB"/>
    <w:rsid w:val="00DF5C51"/>
    <w:rsid w:val="00EA5CD3"/>
    <w:rsid w:val="00F14153"/>
    <w:rsid w:val="00F14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B0F7769437094DB990A3B3AEA0E4CB" ma:contentTypeVersion="1" ma:contentTypeDescription="Создание документа." ma:contentTypeScope="" ma:versionID="546846f3707ea1f97ebd8650039113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0F5BDE-D804-4CAF-BF80-BC52E0DAC2D9}"/>
</file>

<file path=customXml/itemProps2.xml><?xml version="1.0" encoding="utf-8"?>
<ds:datastoreItem xmlns:ds="http://schemas.openxmlformats.org/officeDocument/2006/customXml" ds:itemID="{B2322E5D-6B96-4CAC-AE57-AE8A7976CDFF}"/>
</file>

<file path=customXml/itemProps3.xml><?xml version="1.0" encoding="utf-8"?>
<ds:datastoreItem xmlns:ds="http://schemas.openxmlformats.org/officeDocument/2006/customXml" ds:itemID="{FF76EB8B-47CB-4CDD-9D04-4A4F23E4C1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Александр</cp:lastModifiedBy>
  <cp:revision>2</cp:revision>
  <dcterms:created xsi:type="dcterms:W3CDTF">2017-04-28T05:43:00Z</dcterms:created>
  <dcterms:modified xsi:type="dcterms:W3CDTF">2017-04-28T05:43:00Z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0x0101009BB0F7769437094DB990A3B3AEA0E4CB</vt:lpwstr>
  </property>
</Properties>
</file>