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6A" w:rsidRPr="001863A2" w:rsidRDefault="005C656A" w:rsidP="005C656A">
      <w:pPr>
        <w:tabs>
          <w:tab w:val="left" w:pos="267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Методические рекомендации по выполнению контрольной работы дисциплины «</w:t>
      </w:r>
      <w:r w:rsidR="0042169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Информационное право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5C656A" w:rsidRPr="001863A2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выполнения контрольной работы состоит в том, чтобы закрепить полученные знания и научить пользоваться соответствующими нормативными актами, а также специальной литературой в практической деятельности.</w:t>
      </w:r>
    </w:p>
    <w:p w:rsidR="005C656A" w:rsidRPr="001863A2" w:rsidRDefault="005C656A" w:rsidP="005C656A">
      <w:pPr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контрольной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студентом из списка по желанию из списка, тему вне списка согласовывает с преподавателем.</w:t>
      </w:r>
    </w:p>
    <w:p w:rsidR="005C656A" w:rsidRPr="001863A2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работа </w:t>
      </w:r>
      <w:r w:rsidRPr="00186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выполняется до начала </w:t>
      </w:r>
      <w:r w:rsidRPr="001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экзаменационной сессии в установленные </w:t>
      </w:r>
      <w:r w:rsidRPr="00186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сроки. Студент, не представивший </w:t>
      </w:r>
      <w:r w:rsidRPr="001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контрольную работу в установленный срок, на сессию не вызывается.</w:t>
      </w:r>
    </w:p>
    <w:p w:rsidR="005C656A" w:rsidRPr="001863A2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должна быть пронумерована и иметь поля для пометок преподавателя. На титульном листе работы указывается номер зачетной книжки, вариант контрольной работы. Объем работы должен составлять не менее 15 машинописных страниц. Ответы на вопросы и решение задачи необходимо обосновать, ссылаясь на соответствующий нормативный материал. В конце работы студент указывает использованную литературу, ставит дату и подпись.</w:t>
      </w:r>
    </w:p>
    <w:p w:rsidR="005C656A" w:rsidRPr="001863A2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выполнению контрольной работы, следует ознакомиться с методическими указаниями, внимательно изучить рекомендованный нормативный материал и соответствующую литературу. При этом желательно использовать новейший законодательный материал.</w:t>
      </w:r>
    </w:p>
    <w:p w:rsidR="005C656A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работа со значительными недостатками зачету не подлежит и с рецензией преподавателя возвращается студенту. Повторно написанная работа по первоначальному варианту высылается для проверки вместе </w:t>
      </w:r>
      <w:proofErr w:type="gramStart"/>
      <w:r w:rsidRPr="001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зачтенной.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литературы оформляется в едином формате оформления библиографического описания ссылок в соответствии </w:t>
      </w:r>
      <w:proofErr w:type="gramStart"/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7.0.5.-2008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Ссылка на нормативно-правовые акты: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Гражданский кодекс Российской Федерации (часть первая) от 30.11.1994 № 51-ФЗ// Собрание законодательства РФ, 05.12.1994, №32, ст. 3301.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Ссылки на монографию одного или нескольких авторов: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 В. П., Ивановский С. И. Язык и общество. - М.: Наука, 2017. - 210 с.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Ссылка на статью в сборнике: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Лабутина Т. Л. </w:t>
      </w:r>
      <w:proofErr w:type="spell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Лингвокультурологическая</w:t>
      </w:r>
      <w:proofErr w:type="spell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интерпретация текста // Проблемы британской истории. - М.: Наука, СПб</w:t>
      </w:r>
      <w:proofErr w:type="gram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Питер, 2015. - С. 165.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Ссылка на сборник: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и мир: гуманитарные проблемы: </w:t>
      </w:r>
      <w:proofErr w:type="spell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межвуз</w:t>
      </w:r>
      <w:proofErr w:type="spell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сб. науч. тр.- С.-</w:t>
      </w:r>
      <w:proofErr w:type="spell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</w:t>
      </w:r>
      <w:proofErr w:type="spell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 вод</w:t>
      </w:r>
      <w:proofErr w:type="gram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оммуникаций. - 2014. - </w:t>
      </w:r>
      <w:proofErr w:type="spell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8. - С. 145.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Ссылка на статью в журнале: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Ларин Б.А. Очерки по фразеологии // Политическая лингвистика. - 2014. - № 7. - С. 49.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Ссылки на электронные ресурсы: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Ванюшин И. В. Методика измерения характеристики преобразования АЦП [Электронный ресурс]: Исследовано в России: электрон</w:t>
      </w:r>
      <w:proofErr w:type="gram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ауч. журн. - 2013. - [Т. 3]. - С. 263–272. URL: http://zhurnal.ape.relarn.ru/articles/2000/019.pdf (дата обращения: 06.05.2014).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Ссылки на диссертации и авторефераты: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Фенухин</w:t>
      </w:r>
      <w:proofErr w:type="spell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И. Этнополитические конфликты в современной России: на примере Северо-Кавказского регион: </w:t>
      </w:r>
      <w:proofErr w:type="spell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… канд. полит</w:t>
      </w:r>
      <w:proofErr w:type="gram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аук. - М., 2012. - С. 55.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Потоцкая</w:t>
      </w:r>
      <w:proofErr w:type="spell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 Использование устойчивых сочетаний в деловой лексике английского языка: </w:t>
      </w:r>
      <w:proofErr w:type="spell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 канд. </w:t>
      </w:r>
      <w:proofErr w:type="spell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наук. - М., 2013. - 24 с.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Ссылки на учебники и учебные пособия: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Бердина</w:t>
      </w:r>
      <w:proofErr w:type="spell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Деловой немецкий язык: учебное пособие. - М.: Финансовый университет, 2014. – 128с.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Ссылки на энциклопедические издания, словари: 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Краткий экономический словарь / А. Н. </w:t>
      </w:r>
      <w:proofErr w:type="spell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Азрилиян</w:t>
      </w:r>
      <w:proofErr w:type="spell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др.]. - 2-е изд., </w:t>
      </w:r>
      <w:proofErr w:type="spellStart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М.: Ин-т новой экономики, 2002. - С. 480. </w:t>
      </w:r>
    </w:p>
    <w:p w:rsidR="005C656A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Сурков А.А. Краткая литературная энциклопедия. - М.: Советская энциклопедия, 1967. - Т. 4. - С. 194.</w:t>
      </w:r>
    </w:p>
    <w:p w:rsidR="005C656A" w:rsidRPr="000B3D03" w:rsidRDefault="005C656A" w:rsidP="005C656A">
      <w:pPr>
        <w:shd w:val="clear" w:color="auto" w:fill="FFFFFF"/>
        <w:spacing w:after="0" w:line="360" w:lineRule="auto"/>
        <w:ind w:left="78" w:firstLine="7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56A" w:rsidRDefault="005C656A" w:rsidP="005C656A">
      <w:pPr>
        <w:pStyle w:val="20"/>
        <w:shd w:val="clear" w:color="auto" w:fill="auto"/>
        <w:spacing w:line="360" w:lineRule="auto"/>
        <w:ind w:firstLine="709"/>
        <w:jc w:val="center"/>
        <w:rPr>
          <w:b/>
        </w:rPr>
      </w:pPr>
      <w:r>
        <w:rPr>
          <w:b/>
        </w:rPr>
        <w:t>Перечень примерных тем для написания контрольной работы: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Проблемы правового регулирования информационных отношений в информационной сфере;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Сущность и содержание информационной деятельности как предмета правового регулирования;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Информационно-правовые нормы и их источники;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Информационные правоотношения в информационной сфере и их виды;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Реализация информационно-правовых норм;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Правовой статус субъектов информационного права;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Формы правового регулирования информационных отношений в информационной сфере;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Организационно-правовые проблемы защиты государственной тайны и персональных данных;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Информационные правонарушения и юридическая ответственность;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Производство по делам об информационных правонарушениях;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Проблемы специальных правовых режимов информации;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Основные направления формирования и развития единого информационного пространства России;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Формирование и использование информационного пространства в интересах органов государственной власти;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Совершенствование правовой основы информационного пространства России;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Обеспечение информационной безопасности личности, общества и государства;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lastRenderedPageBreak/>
        <w:t>Законодательное обеспечение формирования и развития единого информационного пространства;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Основные принципы обеспечения информационной безопасности субъектов единого информационного пространства;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Организация и координация действий органов государственной власти в едином информационном пространстве России;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Совершенствование форм и методов борьбы с различными видами правонарушений в сфере информации; </w:t>
      </w:r>
    </w:p>
    <w:p w:rsidR="005C656A" w:rsidRDefault="005C656A" w:rsidP="005C656A">
      <w:pPr>
        <w:pStyle w:val="20"/>
        <w:numPr>
          <w:ilvl w:val="0"/>
          <w:numId w:val="1"/>
        </w:numPr>
        <w:spacing w:line="360" w:lineRule="auto"/>
      </w:pPr>
      <w:r>
        <w:t>Проблемы международного сотрудничества в правовом регулировании и развитии глобального информационного пространства.  </w:t>
      </w:r>
    </w:p>
    <w:p w:rsidR="003741CE" w:rsidRDefault="00421695" w:rsidP="005C656A">
      <w:pPr>
        <w:spacing w:line="360" w:lineRule="auto"/>
      </w:pPr>
      <w:bookmarkStart w:id="0" w:name="_GoBack"/>
      <w:bookmarkEnd w:id="0"/>
    </w:p>
    <w:sectPr w:rsidR="0037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127"/>
    <w:multiLevelType w:val="hybridMultilevel"/>
    <w:tmpl w:val="B2E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8F"/>
    <w:rsid w:val="002E7AA7"/>
    <w:rsid w:val="00421695"/>
    <w:rsid w:val="005C656A"/>
    <w:rsid w:val="0096618F"/>
    <w:rsid w:val="00B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C65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656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C65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656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3</cp:revision>
  <dcterms:created xsi:type="dcterms:W3CDTF">2020-11-12T08:20:00Z</dcterms:created>
  <dcterms:modified xsi:type="dcterms:W3CDTF">2020-11-12T12:18:00Z</dcterms:modified>
</cp:coreProperties>
</file>