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40" w:rsidRDefault="00130F40" w:rsidP="0013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Тематика ВКР</w:t>
      </w:r>
    </w:p>
    <w:p w:rsidR="003F6E1E" w:rsidRDefault="00130F40" w:rsidP="00130F4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обучающихся по образовательной программе - программе магистратуры</w:t>
      </w:r>
    </w:p>
    <w:p w:rsidR="00130F40" w:rsidRDefault="00130F40" w:rsidP="00130F4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«Финансовый менеджмент и рынок капиталов»</w:t>
      </w:r>
    </w:p>
    <w:p w:rsidR="00130F40" w:rsidRDefault="00130F40" w:rsidP="00130F4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аправления подготовки 38.04.02 «Менеджмент»</w:t>
      </w:r>
    </w:p>
    <w:p w:rsidR="00130F40" w:rsidRPr="003F6E1E" w:rsidRDefault="00130F40" w:rsidP="00130F4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0F6" w:rsidRPr="00A848AD" w:rsidRDefault="00AB60F6" w:rsidP="00A848AD">
      <w:pPr>
        <w:numPr>
          <w:ilvl w:val="0"/>
          <w:numId w:val="2"/>
        </w:numPr>
        <w:tabs>
          <w:tab w:val="left" w:pos="502"/>
          <w:tab w:val="left" w:pos="851"/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AD">
        <w:rPr>
          <w:rFonts w:ascii="Times New Roman" w:hAnsi="Times New Roman" w:cs="Times New Roman"/>
          <w:sz w:val="28"/>
          <w:szCs w:val="28"/>
        </w:rPr>
        <w:t xml:space="preserve">Анализ влияния </w:t>
      </w:r>
      <w:proofErr w:type="spellStart"/>
      <w:r w:rsidRPr="00A848AD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A848AD">
        <w:rPr>
          <w:rFonts w:ascii="Times New Roman" w:hAnsi="Times New Roman" w:cs="Times New Roman"/>
          <w:sz w:val="28"/>
          <w:szCs w:val="28"/>
        </w:rPr>
        <w:t xml:space="preserve"> на современные финансовые рынки.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Анализ состояния и динамики российского финансового рынка под влиянием</w:t>
      </w:r>
      <w:r w:rsidRPr="00A848AD">
        <w:rPr>
          <w:sz w:val="28"/>
          <w:szCs w:val="28"/>
        </w:rPr>
        <w:t xml:space="preserve"> </w:t>
      </w:r>
      <w:r w:rsidRPr="00A848AD">
        <w:rPr>
          <w:sz w:val="28"/>
          <w:szCs w:val="28"/>
        </w:rPr>
        <w:t>факторов денежно-кредитной политики.</w:t>
      </w:r>
    </w:p>
    <w:p w:rsidR="00AB60F6" w:rsidRPr="00A848AD" w:rsidRDefault="00AB60F6" w:rsidP="00A848AD">
      <w:pPr>
        <w:pStyle w:val="a4"/>
        <w:numPr>
          <w:ilvl w:val="0"/>
          <w:numId w:val="2"/>
        </w:numPr>
        <w:tabs>
          <w:tab w:val="left" w:pos="502"/>
          <w:tab w:val="left" w:pos="851"/>
          <w:tab w:val="left" w:pos="993"/>
          <w:tab w:val="left" w:pos="1418"/>
          <w:tab w:val="left" w:pos="5720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AD">
        <w:rPr>
          <w:rFonts w:ascii="Times New Roman" w:eastAsiaTheme="minorEastAsia" w:hAnsi="Times New Roman" w:cs="Times New Roman"/>
          <w:bCs/>
          <w:sz w:val="28"/>
          <w:szCs w:val="28"/>
        </w:rPr>
        <w:t>Анализ эффективности применения современных инструментов денежно-кредитной политики.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Банковское кредитование малого и среднего бизнеса: организация, современные</w:t>
      </w:r>
      <w:r w:rsidRPr="00A848AD">
        <w:rPr>
          <w:sz w:val="28"/>
          <w:szCs w:val="28"/>
        </w:rPr>
        <w:t xml:space="preserve"> </w:t>
      </w:r>
      <w:r w:rsidRPr="00A848AD">
        <w:rPr>
          <w:sz w:val="28"/>
          <w:szCs w:val="28"/>
        </w:rPr>
        <w:t>тенденции и перспективы развития.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left" w:pos="502"/>
          <w:tab w:val="left" w:pos="851"/>
          <w:tab w:val="left" w:pos="993"/>
        </w:tabs>
        <w:autoSpaceDE/>
        <w:autoSpaceDN/>
        <w:adjustRightInd/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Влияние цифровых технологий на формирование нового облика банка.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502"/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4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Выбор финансовой стратегии корпораций.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center" w:pos="142"/>
          <w:tab w:val="left" w:pos="502"/>
          <w:tab w:val="left" w:pos="851"/>
          <w:tab w:val="left" w:pos="1134"/>
          <w:tab w:val="left" w:pos="7372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Инвестирование средств пенсионных накоплений как фактор развития российского финансового рынка.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left" w:pos="502"/>
          <w:tab w:val="left" w:pos="851"/>
          <w:tab w:val="left" w:pos="1134"/>
        </w:tabs>
        <w:autoSpaceDE/>
        <w:autoSpaceDN/>
        <w:adjustRightInd/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Информационная безопасность банковской деятельности: проблемы и технологии.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502"/>
          <w:tab w:val="left" w:pos="851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внутренних и внешних факторов, влияющих на финансовую устойчивость предприятий и корпораций.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502"/>
          <w:tab w:val="left" w:pos="851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4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Источники финансирования хозяйствующих субъектов, проблемы оптимизации структуры капитала.</w:t>
      </w:r>
    </w:p>
    <w:p w:rsidR="00AB60F6" w:rsidRPr="00A848AD" w:rsidRDefault="00AB60F6" w:rsidP="00A848AD">
      <w:pPr>
        <w:pStyle w:val="a6"/>
        <w:widowControl w:val="0"/>
        <w:numPr>
          <w:ilvl w:val="0"/>
          <w:numId w:val="2"/>
        </w:numPr>
        <w:tabs>
          <w:tab w:val="clear" w:pos="4677"/>
          <w:tab w:val="center" w:pos="142"/>
          <w:tab w:val="left" w:pos="502"/>
          <w:tab w:val="left" w:pos="851"/>
          <w:tab w:val="left" w:pos="1134"/>
          <w:tab w:val="left" w:pos="8505"/>
        </w:tabs>
        <w:spacing w:line="312" w:lineRule="auto"/>
        <w:ind w:left="0" w:firstLine="709"/>
        <w:jc w:val="both"/>
        <w:rPr>
          <w:rFonts w:cs="Times New Roman"/>
          <w:szCs w:val="28"/>
        </w:rPr>
      </w:pPr>
      <w:r w:rsidRPr="00A848AD">
        <w:rPr>
          <w:rFonts w:cs="Times New Roman"/>
          <w:szCs w:val="28"/>
        </w:rPr>
        <w:t>Кредитный характер современной денежной эмиссии и проблемы обеспечения ее оптимальности.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426"/>
          <w:tab w:val="left" w:pos="502"/>
          <w:tab w:val="left" w:pos="851"/>
          <w:tab w:val="left" w:pos="1134"/>
        </w:tabs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48AD">
        <w:rPr>
          <w:rFonts w:ascii="Times New Roman" w:eastAsia="Calibri" w:hAnsi="Times New Roman" w:cs="Times New Roman"/>
          <w:bCs/>
          <w:sz w:val="28"/>
          <w:szCs w:val="28"/>
        </w:rPr>
        <w:t>Лизинг как инструмент финансирования капитальных вложений.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426"/>
          <w:tab w:val="left" w:pos="502"/>
          <w:tab w:val="left" w:pos="851"/>
          <w:tab w:val="left" w:pos="1134"/>
        </w:tabs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AD">
        <w:rPr>
          <w:rFonts w:ascii="Times New Roman" w:eastAsia="Calibri" w:hAnsi="Times New Roman" w:cs="Times New Roman"/>
          <w:sz w:val="28"/>
          <w:szCs w:val="28"/>
          <w:lang w:eastAsia="ru-RU"/>
        </w:rPr>
        <w:t>Моделирование финансовой устойчивости предприятия.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left" w:pos="426"/>
          <w:tab w:val="left" w:pos="502"/>
          <w:tab w:val="left" w:pos="851"/>
          <w:tab w:val="left" w:pos="1134"/>
        </w:tabs>
        <w:autoSpaceDE/>
        <w:adjustRightInd/>
        <w:spacing w:line="312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A848AD">
        <w:rPr>
          <w:rFonts w:eastAsia="Calibri"/>
          <w:color w:val="0D0D0D" w:themeColor="text1" w:themeTint="F2"/>
          <w:sz w:val="28"/>
          <w:szCs w:val="28"/>
        </w:rPr>
        <w:t>Налогов</w:t>
      </w:r>
      <w:r w:rsidR="00A848AD" w:rsidRPr="00A848AD">
        <w:rPr>
          <w:rFonts w:eastAsia="Calibri"/>
          <w:color w:val="0D0D0D" w:themeColor="text1" w:themeTint="F2"/>
          <w:sz w:val="28"/>
          <w:szCs w:val="28"/>
        </w:rPr>
        <w:t xml:space="preserve">ая политика и налоговые </w:t>
      </w:r>
      <w:r w:rsidRPr="00A848AD">
        <w:rPr>
          <w:rFonts w:eastAsia="Calibri"/>
          <w:color w:val="0D0D0D" w:themeColor="text1" w:themeTint="F2"/>
          <w:sz w:val="28"/>
          <w:szCs w:val="28"/>
        </w:rPr>
        <w:t>риски предприятия</w:t>
      </w:r>
      <w:r w:rsidR="00A848AD" w:rsidRPr="00A848AD">
        <w:rPr>
          <w:rFonts w:eastAsia="Calibri"/>
          <w:color w:val="0D0D0D" w:themeColor="text1" w:themeTint="F2"/>
          <w:sz w:val="28"/>
          <w:szCs w:val="28"/>
        </w:rPr>
        <w:t>,</w:t>
      </w:r>
      <w:r w:rsidRPr="00A848AD">
        <w:rPr>
          <w:rFonts w:eastAsia="Calibri"/>
          <w:color w:val="0D0D0D" w:themeColor="text1" w:themeTint="F2"/>
          <w:sz w:val="28"/>
          <w:szCs w:val="28"/>
        </w:rPr>
        <w:t xml:space="preserve"> их оценка.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Направления повышения конкурентоспособности российских банков.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left" w:pos="502"/>
          <w:tab w:val="left" w:pos="851"/>
          <w:tab w:val="left" w:pos="1134"/>
        </w:tabs>
        <w:autoSpaceDE/>
        <w:autoSpaceDN/>
        <w:adjustRightInd/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Направления развития системы кредитования реального сектора экономики.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Новые явления и тенденции в развитии банковского сектора Российской</w:t>
      </w:r>
      <w:r w:rsidRPr="00A848AD">
        <w:rPr>
          <w:sz w:val="28"/>
          <w:szCs w:val="28"/>
        </w:rPr>
        <w:t xml:space="preserve"> </w:t>
      </w:r>
      <w:r w:rsidRPr="00A848AD">
        <w:rPr>
          <w:sz w:val="28"/>
          <w:szCs w:val="28"/>
        </w:rPr>
        <w:t>Федерации.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center" w:pos="142"/>
          <w:tab w:val="left" w:pos="502"/>
          <w:tab w:val="left" w:pos="851"/>
          <w:tab w:val="left" w:pos="993"/>
          <w:tab w:val="left" w:pos="1134"/>
          <w:tab w:val="left" w:pos="7372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Операции Банка России с ценными бумагами как инструмент денежно-кредитной политики.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502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структуры финансовых ресурсов предприятий реального сектора экономики.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502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4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Отраслевые финансы и их особенности.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502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48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Оценка бизнеса: проблемы и подходы.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center" w:pos="142"/>
          <w:tab w:val="left" w:pos="502"/>
          <w:tab w:val="left" w:pos="851"/>
          <w:tab w:val="left" w:pos="993"/>
          <w:tab w:val="left" w:pos="1134"/>
          <w:tab w:val="left" w:pos="7372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Оценка эффективности российского рынка акций.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993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Планирование и прогнозирование деятельности банка и стратегии его развития.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993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Проблемы и перспективы развития банковского сектора России в условиях</w:t>
      </w:r>
      <w:r w:rsidRPr="00A848AD">
        <w:rPr>
          <w:sz w:val="28"/>
          <w:szCs w:val="28"/>
        </w:rPr>
        <w:t xml:space="preserve"> </w:t>
      </w:r>
      <w:r w:rsidRPr="00A848AD">
        <w:rPr>
          <w:sz w:val="28"/>
          <w:szCs w:val="28"/>
        </w:rPr>
        <w:t>глобальной турбулентности.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993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Пути повышения капитализации российских коммерческих банков в современных</w:t>
      </w:r>
      <w:r w:rsidRPr="00A848AD">
        <w:rPr>
          <w:sz w:val="28"/>
          <w:szCs w:val="28"/>
        </w:rPr>
        <w:t xml:space="preserve"> </w:t>
      </w:r>
      <w:r w:rsidRPr="00A848AD">
        <w:rPr>
          <w:sz w:val="28"/>
          <w:szCs w:val="28"/>
        </w:rPr>
        <w:t>условиях.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993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Развитие и совершенствование структуры банковских активов в современных</w:t>
      </w:r>
      <w:r w:rsidRPr="00A848AD">
        <w:rPr>
          <w:sz w:val="28"/>
          <w:szCs w:val="28"/>
        </w:rPr>
        <w:t xml:space="preserve"> </w:t>
      </w:r>
      <w:r w:rsidRPr="00A848AD">
        <w:rPr>
          <w:sz w:val="28"/>
          <w:szCs w:val="28"/>
        </w:rPr>
        <w:t>условиях.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993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Развитие методов оценки и управления рентабельностью коммерческого банка.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993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Современные банковские технологии в условиях информатизации экономических</w:t>
      </w:r>
      <w:r w:rsidRPr="00A848AD">
        <w:rPr>
          <w:sz w:val="28"/>
          <w:szCs w:val="28"/>
        </w:rPr>
        <w:t xml:space="preserve"> </w:t>
      </w:r>
      <w:r w:rsidRPr="00A848AD">
        <w:rPr>
          <w:sz w:val="28"/>
          <w:szCs w:val="28"/>
        </w:rPr>
        <w:t>отношений.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left" w:pos="502"/>
          <w:tab w:val="left" w:pos="851"/>
          <w:tab w:val="left" w:pos="993"/>
          <w:tab w:val="left" w:pos="1134"/>
        </w:tabs>
        <w:autoSpaceDE/>
        <w:autoSpaceDN/>
        <w:adjustRightInd/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Тенденции и проблемы развития современных банковских продуктов и технологий.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426"/>
          <w:tab w:val="left" w:pos="502"/>
          <w:tab w:val="left" w:pos="851"/>
          <w:tab w:val="left" w:pos="993"/>
          <w:tab w:val="left" w:pos="1134"/>
        </w:tabs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активами предприятия. </w:t>
      </w:r>
    </w:p>
    <w:p w:rsidR="00AB60F6" w:rsidRPr="00A848AD" w:rsidRDefault="00AB60F6" w:rsidP="00A848AD">
      <w:pPr>
        <w:pStyle w:val="a3"/>
        <w:numPr>
          <w:ilvl w:val="0"/>
          <w:numId w:val="2"/>
        </w:numPr>
        <w:tabs>
          <w:tab w:val="left" w:pos="502"/>
          <w:tab w:val="left" w:pos="993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Финансовая стабильность банковской системы России: содержание и новые</w:t>
      </w:r>
      <w:r w:rsidRPr="00A848AD">
        <w:rPr>
          <w:sz w:val="28"/>
          <w:szCs w:val="28"/>
        </w:rPr>
        <w:t xml:space="preserve"> </w:t>
      </w:r>
      <w:r w:rsidRPr="00A848AD">
        <w:rPr>
          <w:sz w:val="28"/>
          <w:szCs w:val="28"/>
        </w:rPr>
        <w:t>механизмы ее обеспечения.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426"/>
          <w:tab w:val="left" w:pos="502"/>
          <w:tab w:val="left" w:pos="851"/>
          <w:tab w:val="left" w:pos="993"/>
          <w:tab w:val="left" w:pos="1134"/>
        </w:tabs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A848A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Финансовое состояние и инвестиционная привлекательность предприятия.</w:t>
      </w:r>
    </w:p>
    <w:p w:rsidR="00AB60F6" w:rsidRPr="00A848AD" w:rsidRDefault="00AB60F6" w:rsidP="00A848AD">
      <w:pPr>
        <w:widowControl w:val="0"/>
        <w:numPr>
          <w:ilvl w:val="0"/>
          <w:numId w:val="2"/>
        </w:numPr>
        <w:tabs>
          <w:tab w:val="left" w:pos="502"/>
          <w:tab w:val="left" w:pos="851"/>
          <w:tab w:val="left" w:pos="993"/>
          <w:tab w:val="left" w:pos="1134"/>
        </w:tabs>
        <w:spacing w:after="0" w:line="312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A8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Франчайзинг как особый вид предпринимательской деятельности. 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left" w:pos="502"/>
          <w:tab w:val="left" w:pos="851"/>
          <w:tab w:val="left" w:pos="993"/>
          <w:tab w:val="left" w:pos="1134"/>
        </w:tabs>
        <w:autoSpaceDE/>
        <w:autoSpaceDN/>
        <w:adjustRightInd/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Электронный бизнес коммерческого банка: проблемы и перспективы развития.</w:t>
      </w:r>
    </w:p>
    <w:p w:rsidR="00AB60F6" w:rsidRPr="00A848AD" w:rsidRDefault="00AB60F6" w:rsidP="00A848AD">
      <w:pPr>
        <w:pStyle w:val="a3"/>
        <w:widowControl/>
        <w:numPr>
          <w:ilvl w:val="0"/>
          <w:numId w:val="2"/>
        </w:numPr>
        <w:tabs>
          <w:tab w:val="left" w:pos="502"/>
          <w:tab w:val="left" w:pos="851"/>
          <w:tab w:val="left" w:pos="993"/>
          <w:tab w:val="left" w:pos="1134"/>
        </w:tabs>
        <w:autoSpaceDE/>
        <w:autoSpaceDN/>
        <w:adjustRightInd/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A848AD">
        <w:rPr>
          <w:sz w:val="28"/>
          <w:szCs w:val="28"/>
        </w:rPr>
        <w:t>Эффективность банковской деятельности: критерии, показатели, технологии оценки.</w:t>
      </w:r>
    </w:p>
    <w:p w:rsidR="00AB60F6" w:rsidRPr="00A848AD" w:rsidRDefault="00AB60F6" w:rsidP="00A848A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8AD" w:rsidRDefault="00AB60F6" w:rsidP="00A848AD">
      <w:pPr>
        <w:pStyle w:val="a3"/>
        <w:tabs>
          <w:tab w:val="left" w:pos="426"/>
          <w:tab w:val="left" w:pos="851"/>
          <w:tab w:val="left" w:pos="993"/>
        </w:tabs>
        <w:autoSpaceDE/>
        <w:adjustRightInd/>
        <w:spacing w:line="312" w:lineRule="auto"/>
        <w:ind w:left="0"/>
        <w:jc w:val="center"/>
        <w:rPr>
          <w:rFonts w:eastAsia="Calibri"/>
          <w:i/>
          <w:sz w:val="28"/>
          <w:szCs w:val="28"/>
        </w:rPr>
      </w:pPr>
      <w:r w:rsidRPr="00A848AD">
        <w:rPr>
          <w:rFonts w:eastAsia="Calibri"/>
          <w:i/>
          <w:sz w:val="28"/>
          <w:szCs w:val="28"/>
        </w:rPr>
        <w:t xml:space="preserve">Дополнительные темы в рамках перечисленных направлений, </w:t>
      </w:r>
    </w:p>
    <w:p w:rsidR="00A848AD" w:rsidRDefault="00AB60F6" w:rsidP="00A848AD">
      <w:pPr>
        <w:pStyle w:val="a3"/>
        <w:tabs>
          <w:tab w:val="left" w:pos="426"/>
          <w:tab w:val="left" w:pos="851"/>
          <w:tab w:val="left" w:pos="993"/>
        </w:tabs>
        <w:autoSpaceDE/>
        <w:adjustRightInd/>
        <w:spacing w:line="312" w:lineRule="auto"/>
        <w:ind w:left="0"/>
        <w:jc w:val="center"/>
        <w:rPr>
          <w:rFonts w:eastAsia="Calibri"/>
          <w:i/>
          <w:sz w:val="28"/>
          <w:szCs w:val="28"/>
        </w:rPr>
      </w:pPr>
      <w:r w:rsidRPr="00A848AD">
        <w:rPr>
          <w:rFonts w:eastAsia="Calibri"/>
          <w:i/>
          <w:sz w:val="28"/>
          <w:szCs w:val="28"/>
        </w:rPr>
        <w:t xml:space="preserve">предлагаемые магистрантами </w:t>
      </w:r>
    </w:p>
    <w:p w:rsidR="00AB60F6" w:rsidRPr="00A848AD" w:rsidRDefault="00AB60F6" w:rsidP="00A848AD">
      <w:pPr>
        <w:pStyle w:val="a3"/>
        <w:tabs>
          <w:tab w:val="left" w:pos="426"/>
          <w:tab w:val="left" w:pos="851"/>
          <w:tab w:val="left" w:pos="993"/>
        </w:tabs>
        <w:autoSpaceDE/>
        <w:adjustRightInd/>
        <w:spacing w:line="312" w:lineRule="auto"/>
        <w:ind w:left="0"/>
        <w:jc w:val="center"/>
        <w:rPr>
          <w:rFonts w:eastAsia="Calibri"/>
          <w:i/>
          <w:sz w:val="28"/>
          <w:szCs w:val="28"/>
        </w:rPr>
      </w:pPr>
      <w:r w:rsidRPr="00A848AD">
        <w:rPr>
          <w:rFonts w:eastAsia="Calibri"/>
          <w:i/>
          <w:sz w:val="28"/>
          <w:szCs w:val="28"/>
        </w:rPr>
        <w:t>при согласовании с научным руководителем и одобрении кафедрой.</w:t>
      </w:r>
    </w:p>
    <w:p w:rsidR="00AB60F6" w:rsidRDefault="00AB60F6" w:rsidP="00AB60F6">
      <w:pPr>
        <w:rPr>
          <w:sz w:val="24"/>
          <w:szCs w:val="24"/>
        </w:rPr>
      </w:pPr>
    </w:p>
    <w:p w:rsidR="00AB60F6" w:rsidRPr="003F6E1E" w:rsidRDefault="00AB60F6" w:rsidP="00AB60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AB60F6" w:rsidRPr="003F6E1E" w:rsidSect="003F6E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73C76"/>
    <w:multiLevelType w:val="hybridMultilevel"/>
    <w:tmpl w:val="D8B2A346"/>
    <w:lvl w:ilvl="0" w:tplc="67A8F73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8792D"/>
    <w:multiLevelType w:val="hybridMultilevel"/>
    <w:tmpl w:val="0EB0F638"/>
    <w:lvl w:ilvl="0" w:tplc="67A8F73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52C5"/>
    <w:multiLevelType w:val="hybridMultilevel"/>
    <w:tmpl w:val="4F2C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E1E"/>
    <w:rsid w:val="00130F40"/>
    <w:rsid w:val="00240AE5"/>
    <w:rsid w:val="003F6E1E"/>
    <w:rsid w:val="00572935"/>
    <w:rsid w:val="0064225F"/>
    <w:rsid w:val="008D116D"/>
    <w:rsid w:val="00943B72"/>
    <w:rsid w:val="009B1D00"/>
    <w:rsid w:val="00A848AD"/>
    <w:rsid w:val="00AB60F6"/>
    <w:rsid w:val="00C50D34"/>
    <w:rsid w:val="00C618E2"/>
    <w:rsid w:val="00E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EE0E3-96CB-4396-B54E-40C2D14F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F6E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F6E1E"/>
  </w:style>
  <w:style w:type="paragraph" w:styleId="a6">
    <w:name w:val="footer"/>
    <w:basedOn w:val="a"/>
    <w:link w:val="a7"/>
    <w:uiPriority w:val="99"/>
    <w:rsid w:val="003F6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Palatino Linotype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F6E1E"/>
    <w:rPr>
      <w:rFonts w:ascii="Times New Roman" w:eastAsia="Times New Roman" w:hAnsi="Times New Roman" w:cs="Palatino Linotype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Пирогова Татьяна Викторовна</cp:lastModifiedBy>
  <cp:revision>6</cp:revision>
  <dcterms:created xsi:type="dcterms:W3CDTF">2018-11-05T16:18:00Z</dcterms:created>
  <dcterms:modified xsi:type="dcterms:W3CDTF">2018-11-19T09:45:00Z</dcterms:modified>
</cp:coreProperties>
</file>