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01" w:rsidRDefault="00017F65" w:rsidP="00BA4001">
      <w:pPr>
        <w:widowControl/>
        <w:ind w:firstLine="567"/>
        <w:jc w:val="center"/>
        <w:rPr>
          <w:b/>
          <w:bCs/>
        </w:rPr>
      </w:pPr>
      <w:r>
        <w:rPr>
          <w:b/>
          <w:bCs/>
        </w:rPr>
        <w:t>Т</w:t>
      </w:r>
      <w:r w:rsidR="00BA4001">
        <w:rPr>
          <w:b/>
          <w:bCs/>
        </w:rPr>
        <w:t>ем</w:t>
      </w:r>
      <w:r>
        <w:rPr>
          <w:b/>
          <w:bCs/>
        </w:rPr>
        <w:t>атика</w:t>
      </w:r>
      <w:r w:rsidR="00BA4001">
        <w:rPr>
          <w:b/>
          <w:bCs/>
        </w:rPr>
        <w:t xml:space="preserve"> выпускных квалификационных работ </w:t>
      </w:r>
      <w:r w:rsidR="00F55B9C">
        <w:rPr>
          <w:b/>
          <w:bCs/>
        </w:rPr>
        <w:t>в 201</w:t>
      </w:r>
      <w:r w:rsidR="00C17002">
        <w:rPr>
          <w:b/>
          <w:bCs/>
        </w:rPr>
        <w:t>8</w:t>
      </w:r>
      <w:r w:rsidR="00F55B9C">
        <w:rPr>
          <w:b/>
          <w:bCs/>
        </w:rPr>
        <w:t>/201</w:t>
      </w:r>
      <w:r w:rsidR="00C17002">
        <w:rPr>
          <w:b/>
          <w:bCs/>
        </w:rPr>
        <w:t>9</w:t>
      </w:r>
      <w:r w:rsidR="00F55B9C">
        <w:rPr>
          <w:b/>
          <w:bCs/>
        </w:rPr>
        <w:t xml:space="preserve"> уч.</w:t>
      </w:r>
      <w:r w:rsidR="00E91218">
        <w:rPr>
          <w:b/>
          <w:bCs/>
        </w:rPr>
        <w:t xml:space="preserve"> </w:t>
      </w:r>
      <w:bookmarkStart w:id="0" w:name="_GoBack"/>
      <w:bookmarkEnd w:id="0"/>
      <w:r w:rsidR="00F55B9C">
        <w:rPr>
          <w:b/>
          <w:bCs/>
        </w:rPr>
        <w:t>году</w:t>
      </w:r>
    </w:p>
    <w:p w:rsidR="00BA4001" w:rsidRDefault="00BA4001" w:rsidP="00BA4001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бакалавров </w:t>
      </w:r>
      <w:r>
        <w:rPr>
          <w:rFonts w:ascii="Times New Roman" w:hAnsi="Times New Roman"/>
          <w:b/>
          <w:sz w:val="24"/>
          <w:szCs w:val="24"/>
        </w:rPr>
        <w:t>по направлению подготовки</w:t>
      </w:r>
    </w:p>
    <w:p w:rsidR="00BA4001" w:rsidRDefault="00BA4001" w:rsidP="00BA4001">
      <w:pPr>
        <w:widowControl/>
        <w:ind w:firstLine="567"/>
        <w:jc w:val="center"/>
        <w:rPr>
          <w:b/>
          <w:bCs/>
        </w:rPr>
      </w:pPr>
      <w:r>
        <w:rPr>
          <w:b/>
        </w:rPr>
        <w:t xml:space="preserve">38.03.02 «Менеджмент», </w:t>
      </w:r>
      <w:r>
        <w:rPr>
          <w:b/>
          <w:bCs/>
        </w:rPr>
        <w:t>профиль «</w:t>
      </w:r>
      <w:r>
        <w:rPr>
          <w:b/>
        </w:rPr>
        <w:t>Финансовый менеджмент</w:t>
      </w:r>
      <w:r>
        <w:rPr>
          <w:b/>
          <w:bCs/>
        </w:rPr>
        <w:t>»</w:t>
      </w:r>
    </w:p>
    <w:p w:rsidR="00BA4001" w:rsidRDefault="00BA4001" w:rsidP="00BA4001">
      <w:pPr>
        <w:widowControl/>
        <w:tabs>
          <w:tab w:val="left" w:pos="851"/>
          <w:tab w:val="left" w:pos="1134"/>
          <w:tab w:val="left" w:pos="1276"/>
        </w:tabs>
        <w:suppressAutoHyphens/>
        <w:autoSpaceDE/>
        <w:adjustRightInd/>
        <w:spacing w:line="304" w:lineRule="auto"/>
        <w:ind w:firstLine="567"/>
        <w:jc w:val="both"/>
      </w:pPr>
    </w:p>
    <w:p w:rsidR="00496F68" w:rsidRPr="00496F68" w:rsidRDefault="00496F68" w:rsidP="00496F68">
      <w:pPr>
        <w:tabs>
          <w:tab w:val="left" w:pos="0"/>
          <w:tab w:val="left" w:pos="1134"/>
        </w:tabs>
        <w:ind w:firstLine="709"/>
      </w:pPr>
    </w:p>
    <w:p w:rsidR="00496F68" w:rsidRPr="00496F68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496F68">
        <w:t>Анализ и оценка финансовых рисков предприятия.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496F68">
        <w:t xml:space="preserve">Анализ эффективности </w:t>
      </w:r>
      <w:r w:rsidRPr="000C4EC6">
        <w:t>использования финансовых ресурсов предприятия.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Антикризисное управление как фактор повышения деловой активности организации.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Бизнес-план и его роль в финансовом обосновании инвестиционного проекта.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Бюджетирование деятельности организации.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Диверсификация инвестиционного портфеля организации.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Заемный капитал и его роль в финансировании предпринимательской деятельности.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Инвестиционная политика предприятия в современных условиях.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Инвестиционный климат в России и его оценка.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Инструменты долгосрочного финансирования деятельности организации.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Лизинг как форма финансирования капитальных вложений.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Методы обеспечения финансовой устойчивости предприятия.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Методы оценки экономической эффективности инвестиционных проектов.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Методы управления финансовыми рисками организации.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Механизм управления финансовыми рисками предприятия.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Мобилизация предприятием финансовых ресурсов путем эмиссии ценных бумаг.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Оптимальная структура капитала: теории и способы оптимизации.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Организация бюджетирования в вертикально-интегрированных компаниях (холдингах).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Организация и финансирование лизинговых операций.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Особенности управления финансами организаций различных сфер деятельности.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Оценка и прогнозирование потенциального банкротства организации.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Оценка и управление рисками инвестиционных проектов.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Оценка экономической привлекательности инвестиционных проектов.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Оценка эффективности политики управления структурой капитала.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Оценка эффективности управления финансовыми ресурсами.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Планирование и прогнозирование финансовых показателей.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Прогнозирование банкротства и разработка антикризисной программы организации.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Прогнозирование развития организации на основе анализа системы финансовых показателей.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Разработка эффективной системы управления денежными потоками организации.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Риски инвестиционных решений и их оценка.</w:t>
      </w:r>
    </w:p>
    <w:p w:rsidR="00496F68" w:rsidRPr="000C4EC6" w:rsidRDefault="00496F68" w:rsidP="000C4EC6">
      <w:pPr>
        <w:pStyle w:val="a3"/>
        <w:widowControl w:val="0"/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spacing w:after="0" w:line="276" w:lineRule="auto"/>
        <w:ind w:left="0" w:firstLine="709"/>
        <w:jc w:val="both"/>
      </w:pPr>
      <w:r w:rsidRPr="000C4EC6">
        <w:t>Риски инновационной деятельности и способы их минимизации.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Система управления капиталом организации.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Совершенствование деятельности организации на основе данных финансового состояния организации.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Современные методы привлечения финансовых ресурсов компании на международном рынке капиталов.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 xml:space="preserve">Сравнительная характеристика и оценка методов финансирования </w:t>
      </w:r>
      <w:r w:rsidRPr="000C4EC6">
        <w:rPr>
          <w:bCs/>
        </w:rPr>
        <w:lastRenderedPageBreak/>
        <w:t>инвестиционных проектов.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 xml:space="preserve">Стратегия роста стоимости капитала организации: содержание и управление. 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Управление активами организации.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 xml:space="preserve">Управление </w:t>
      </w:r>
      <w:proofErr w:type="spellStart"/>
      <w:r w:rsidRPr="000C4EC6">
        <w:t>внеоборотными</w:t>
      </w:r>
      <w:proofErr w:type="spellEnd"/>
      <w:r w:rsidRPr="000C4EC6">
        <w:t xml:space="preserve"> активами предприятия.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Управление дебиторской и кредиторской задолженностью в организации.</w:t>
      </w:r>
    </w:p>
    <w:p w:rsidR="00496F68" w:rsidRPr="000C4EC6" w:rsidRDefault="00496F68" w:rsidP="000C4EC6">
      <w:pPr>
        <w:widowControl/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suppressAutoHyphens/>
        <w:autoSpaceDE/>
        <w:adjustRightInd/>
        <w:spacing w:line="276" w:lineRule="auto"/>
        <w:ind w:left="0" w:firstLine="709"/>
        <w:jc w:val="both"/>
      </w:pPr>
      <w:r w:rsidRPr="000C4EC6">
        <w:t xml:space="preserve">Управление денежными потоками предприятия в системе финансового менеджмента. 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Управление доходами организации и формирование кредитной политики.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Управление себестоимостью продукции организации.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Управление собственным капиталом предприятия в условиях инфляции.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Управление стоимостью компании на основе формирования чистого денежного потока.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Управление финансами малого бизнеса.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Управление ценой и структурой капитала организации.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Финансирование реальных инвестиционных проектов.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Финансовое планирование и прогнозирование в компании.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</w:pPr>
      <w:r w:rsidRPr="000C4EC6">
        <w:t>Финансовое планирование как фактор эффективного управления деятельностью предприятия.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Финансовое прогнозирование и его роль в обеспечении финансовой устойчивости организации.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Финансовое состояние и инвестиционная привлекательность предприятия.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Финансовые аспекты процедур банкротства организации.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Финансовые аспекты реструктуризации компании.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Финансовые ресурсы организации и особенности их формирования в современных условиях.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Формирование и использование собственных источников финансирования предпринимательской деятельности.</w:t>
      </w:r>
    </w:p>
    <w:p w:rsidR="00496F68" w:rsidRPr="000C4EC6" w:rsidRDefault="00496F68" w:rsidP="000C4EC6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contextualSpacing w:val="0"/>
        <w:jc w:val="both"/>
      </w:pPr>
      <w:r w:rsidRPr="000C4EC6">
        <w:t>Формирование и реализация дивидендной политики организации.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 xml:space="preserve">Формирование и реализация финансовой политики предприятия 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  <w:rPr>
          <w:bCs/>
        </w:rPr>
      </w:pPr>
      <w:r w:rsidRPr="000C4EC6">
        <w:rPr>
          <w:bCs/>
        </w:rPr>
        <w:t>Формирование инвестиционного портфеля предприятия.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Формирование оптимальной структуры капитала организации.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Формирование политики управления оборотными средствами в организации.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Формирование политики управления прибылью организации.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Формирование системы управления платежеспособностью и финансовой устойчивостью организации.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Формирование финансовой политики организации в условиях рынка.</w:t>
      </w:r>
    </w:p>
    <w:p w:rsidR="00496F68" w:rsidRPr="000C4EC6" w:rsidRDefault="00496F68" w:rsidP="000C4EC6">
      <w:pPr>
        <w:widowControl/>
        <w:numPr>
          <w:ilvl w:val="0"/>
          <w:numId w:val="1"/>
        </w:numPr>
        <w:shd w:val="clear" w:color="auto" w:fill="FFFFFF"/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Формирование эффективной системы лизингового финансирования.</w:t>
      </w:r>
    </w:p>
    <w:p w:rsidR="00496F68" w:rsidRPr="000C4EC6" w:rsidRDefault="00496F68" w:rsidP="000C4EC6">
      <w:pPr>
        <w:numPr>
          <w:ilvl w:val="0"/>
          <w:numId w:val="1"/>
        </w:numPr>
        <w:tabs>
          <w:tab w:val="clear" w:pos="1070"/>
          <w:tab w:val="left" w:pos="0"/>
          <w:tab w:val="left" w:pos="851"/>
          <w:tab w:val="num" w:pos="993"/>
          <w:tab w:val="left" w:pos="1134"/>
        </w:tabs>
        <w:autoSpaceDE/>
        <w:adjustRightInd/>
        <w:spacing w:line="276" w:lineRule="auto"/>
        <w:ind w:left="0" w:firstLine="709"/>
        <w:jc w:val="both"/>
      </w:pPr>
      <w:r w:rsidRPr="000C4EC6">
        <w:t>Ценовая политика как фактор повышения доходности предприятия.</w:t>
      </w:r>
    </w:p>
    <w:p w:rsidR="00C50D34" w:rsidRDefault="00C50D34"/>
    <w:p w:rsidR="00B92F1A" w:rsidRDefault="00B92F1A"/>
    <w:p w:rsidR="00B92F1A" w:rsidRDefault="00B92F1A"/>
    <w:p w:rsidR="00B92F1A" w:rsidRDefault="00B92F1A"/>
    <w:p w:rsidR="00B92F1A" w:rsidRDefault="00B92F1A" w:rsidP="00B92F1A">
      <w:pPr>
        <w:pStyle w:val="a7"/>
        <w:shd w:val="clear" w:color="auto" w:fill="FFFFFF"/>
        <w:tabs>
          <w:tab w:val="left" w:pos="993"/>
          <w:tab w:val="left" w:pos="1134"/>
        </w:tabs>
        <w:spacing w:line="360" w:lineRule="auto"/>
        <w:ind w:left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Зав. кафедрой «Финансы и </w:t>
      </w:r>
      <w:proofErr w:type="gramStart"/>
      <w:r>
        <w:rPr>
          <w:color w:val="000000"/>
          <w:shd w:val="clear" w:color="auto" w:fill="FFFFFF"/>
        </w:rPr>
        <w:t xml:space="preserve">кредит»   </w:t>
      </w:r>
      <w:proofErr w:type="gramEnd"/>
      <w:r>
        <w:rPr>
          <w:color w:val="000000"/>
          <w:shd w:val="clear" w:color="auto" w:fill="FFFFFF"/>
        </w:rPr>
        <w:t xml:space="preserve">                                                           Т.В. Пирогова</w:t>
      </w:r>
    </w:p>
    <w:p w:rsidR="00B92F1A" w:rsidRDefault="00B92F1A"/>
    <w:sectPr w:rsidR="00B92F1A" w:rsidSect="00F55B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7425"/>
    <w:multiLevelType w:val="hybridMultilevel"/>
    <w:tmpl w:val="CB18DFAC"/>
    <w:lvl w:ilvl="0" w:tplc="432683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 w:tplc="6924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B6228"/>
    <w:multiLevelType w:val="hybridMultilevel"/>
    <w:tmpl w:val="CAD4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3B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01"/>
    <w:rsid w:val="00017F65"/>
    <w:rsid w:val="00075ACE"/>
    <w:rsid w:val="000C4EC6"/>
    <w:rsid w:val="00240AE5"/>
    <w:rsid w:val="00361C36"/>
    <w:rsid w:val="00496F68"/>
    <w:rsid w:val="00572935"/>
    <w:rsid w:val="0064225F"/>
    <w:rsid w:val="008D116D"/>
    <w:rsid w:val="00943B72"/>
    <w:rsid w:val="00AD50F9"/>
    <w:rsid w:val="00B92F1A"/>
    <w:rsid w:val="00BA4001"/>
    <w:rsid w:val="00C17002"/>
    <w:rsid w:val="00C50D34"/>
    <w:rsid w:val="00E32685"/>
    <w:rsid w:val="00E91218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61CF2-B4A0-42E0-AD40-5D94D34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4001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A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BA4001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A4001"/>
    <w:rPr>
      <w:rFonts w:ascii="Consolas" w:eastAsia="Calibri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496F68"/>
    <w:pPr>
      <w:widowControl/>
      <w:autoSpaceDE/>
      <w:autoSpaceDN/>
      <w:adjustRightInd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2F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B95A2F0B6613489BC82A68AD0985F5" ma:contentTypeVersion="1" ma:contentTypeDescription="Создание документа." ma:contentTypeScope="" ma:versionID="5d853fb202e85cdbffa195935fc43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8138E-CB4F-4404-91A6-499186188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06EED-2D79-436A-B91F-FAFF1FEA0B89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593B80D-1667-49BD-8C55-707ADDD29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Иванова Елена Юрьевна</cp:lastModifiedBy>
  <cp:revision>4</cp:revision>
  <cp:lastPrinted>2017-11-27T02:51:00Z</cp:lastPrinted>
  <dcterms:created xsi:type="dcterms:W3CDTF">2018-11-19T09:23:00Z</dcterms:created>
  <dcterms:modified xsi:type="dcterms:W3CDTF">2019-04-16T08:17:00Z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0x01010042B95A2F0B6613489BC82A68AD0985F5</vt:lpwstr>
  </property>
</Properties>
</file>