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64" w:rsidRDefault="00994677" w:rsidP="00A7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  <w:bookmarkStart w:id="0" w:name="_GoBack"/>
      <w:r w:rsidRPr="00A77705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International Taxation</w:t>
      </w:r>
    </w:p>
    <w:bookmarkEnd w:id="0"/>
    <w:p w:rsidR="00A77705" w:rsidRPr="00A77705" w:rsidRDefault="00A77705" w:rsidP="00A777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</w:p>
    <w:p w:rsidR="00EB0264" w:rsidRPr="00EB0264" w:rsidRDefault="00E86887" w:rsidP="00A777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99467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Degree: </w:t>
      </w:r>
      <w:r w:rsidR="00A77705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="00994677">
        <w:rPr>
          <w:rFonts w:ascii="Times New Roman" w:eastAsia="Calibri" w:hAnsi="Times New Roman" w:cs="Times New Roman"/>
          <w:sz w:val="24"/>
          <w:szCs w:val="28"/>
          <w:lang w:val="en-US"/>
        </w:rPr>
        <w:t>aster</w:t>
      </w:r>
    </w:p>
    <w:p w:rsidR="00EB0264" w:rsidRPr="00356F2F" w:rsidRDefault="00E86887" w:rsidP="00A777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356F2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Year: </w:t>
      </w:r>
      <w:r w:rsidR="00A77705">
        <w:rPr>
          <w:rFonts w:ascii="Times New Roman" w:eastAsia="Calibri" w:hAnsi="Times New Roman" w:cs="Times New Roman"/>
          <w:sz w:val="24"/>
          <w:szCs w:val="28"/>
          <w:lang w:val="en-US"/>
        </w:rPr>
        <w:t>2018/2019</w:t>
      </w:r>
    </w:p>
    <w:p w:rsidR="00EB0264" w:rsidRPr="00EB0264" w:rsidRDefault="00E86887" w:rsidP="00A777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4C716C">
        <w:rPr>
          <w:rFonts w:ascii="Times New Roman" w:eastAsia="Calibri" w:hAnsi="Times New Roman" w:cs="Times New Roman"/>
          <w:b/>
          <w:sz w:val="24"/>
          <w:szCs w:val="28"/>
          <w:lang w:val="en-US"/>
        </w:rPr>
        <w:t>Semester:</w:t>
      </w:r>
      <w:r w:rsidR="0001559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A77705">
        <w:rPr>
          <w:rFonts w:ascii="Times New Roman" w:eastAsia="Calibri" w:hAnsi="Times New Roman" w:cs="Times New Roman"/>
          <w:sz w:val="24"/>
          <w:szCs w:val="28"/>
          <w:lang w:val="en-US"/>
        </w:rPr>
        <w:t>Fall</w:t>
      </w:r>
    </w:p>
    <w:p w:rsidR="00EB0264" w:rsidRDefault="00E86887" w:rsidP="00A777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4C716C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General workload: </w:t>
      </w:r>
      <w:r w:rsidR="00EB0264" w:rsidRPr="00EB026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3 </w:t>
      </w:r>
      <w:r w:rsidR="00994677">
        <w:rPr>
          <w:rFonts w:ascii="Times New Roman" w:eastAsia="Calibri" w:hAnsi="Times New Roman" w:cs="Times New Roman"/>
          <w:sz w:val="24"/>
          <w:szCs w:val="28"/>
          <w:lang w:val="en-US"/>
        </w:rPr>
        <w:t>ECTS credits,</w:t>
      </w:r>
      <w:r w:rsidR="00EB0264" w:rsidRPr="00EB026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108 </w:t>
      </w:r>
      <w:r w:rsidR="004C716C">
        <w:rPr>
          <w:rFonts w:ascii="Times New Roman" w:eastAsia="Calibri" w:hAnsi="Times New Roman" w:cs="Times New Roman"/>
          <w:sz w:val="24"/>
          <w:szCs w:val="28"/>
          <w:lang w:val="en-US"/>
        </w:rPr>
        <w:t>hours</w:t>
      </w:r>
      <w:r w:rsidR="00EB0264" w:rsidRPr="00EB026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A77705" w:rsidRPr="00EB0264" w:rsidRDefault="00A77705" w:rsidP="00A777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4C716C" w:rsidRDefault="00E86887" w:rsidP="00A7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A65130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Goals of the course </w:t>
      </w:r>
    </w:p>
    <w:p w:rsidR="00E86887" w:rsidRDefault="00DE4338" w:rsidP="00A77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AE74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To examine the theoretical foundations </w:t>
      </w:r>
      <w:r w:rsidR="00AE74C1" w:rsidRPr="00AE74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international taxation and the international </w:t>
      </w:r>
      <w:r w:rsidR="00A65130">
        <w:rPr>
          <w:rFonts w:ascii="Times New Roman" w:eastAsia="Calibri" w:hAnsi="Times New Roman" w:cs="Times New Roman"/>
          <w:sz w:val="24"/>
          <w:szCs w:val="28"/>
          <w:lang w:val="en-US"/>
        </w:rPr>
        <w:t>dimension</w:t>
      </w:r>
      <w:r w:rsidR="00AE74C1" w:rsidRPr="00AE74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the public fiscal policy.</w:t>
      </w:r>
      <w:proofErr w:type="gramEnd"/>
      <w:r w:rsidR="00AE74C1" w:rsidRPr="00AE74C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</w:t>
      </w:r>
      <w:r w:rsidR="00AE74C1">
        <w:rPr>
          <w:rFonts w:ascii="Times New Roman" w:eastAsia="Calibri" w:hAnsi="Times New Roman" w:cs="Times New Roman"/>
          <w:sz w:val="24"/>
          <w:szCs w:val="28"/>
          <w:lang w:val="en-US"/>
        </w:rPr>
        <w:t>The o</w:t>
      </w:r>
      <w:r w:rsidR="00E86887">
        <w:rPr>
          <w:rFonts w:ascii="Times New Roman" w:eastAsia="Calibri" w:hAnsi="Times New Roman" w:cs="Times New Roman"/>
          <w:sz w:val="24"/>
          <w:szCs w:val="28"/>
          <w:lang w:val="en-US"/>
        </w:rPr>
        <w:t>bjectives</w:t>
      </w:r>
      <w:r w:rsidR="0016369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of </w:t>
      </w:r>
      <w:r w:rsidR="00606954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16369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course are the following:</w:t>
      </w:r>
      <w:r w:rsidR="00E8688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EB0264" w:rsidRPr="00A4419D" w:rsidRDefault="00356F2F" w:rsidP="00A7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To </w:t>
      </w:r>
      <w:r w:rsidR="00A4419D">
        <w:rPr>
          <w:rFonts w:ascii="Times New Roman" w:eastAsia="Calibri" w:hAnsi="Times New Roman" w:cs="Times New Roman"/>
          <w:sz w:val="24"/>
          <w:szCs w:val="28"/>
          <w:lang w:val="en-US"/>
        </w:rPr>
        <w:t>acquire</w:t>
      </w: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analytical and expert skills in assessing </w:t>
      </w:r>
      <w:r w:rsidR="002F1C7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efficiency of </w:t>
      </w:r>
      <w:r w:rsidR="00292CD5"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market economy </w:t>
      </w:r>
      <w:r w:rsidR="00144275"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</w:t>
      </w:r>
      <w:r w:rsidR="002F1C7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regulation </w:t>
      </w:r>
      <w:r w:rsidR="00292CD5"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>methods</w:t>
      </w: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4B1CD4">
        <w:rPr>
          <w:rFonts w:ascii="Times New Roman" w:eastAsia="Calibri" w:hAnsi="Times New Roman" w:cs="Times New Roman"/>
          <w:sz w:val="24"/>
          <w:szCs w:val="28"/>
          <w:lang w:val="en-US"/>
        </w:rPr>
        <w:t>to acquire</w:t>
      </w: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skills </w:t>
      </w:r>
      <w:r w:rsidR="004B1CD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needed to </w:t>
      </w:r>
      <w:r w:rsidR="00292CD5">
        <w:rPr>
          <w:rFonts w:ascii="Times New Roman" w:eastAsia="Calibri" w:hAnsi="Times New Roman" w:cs="Times New Roman"/>
          <w:sz w:val="24"/>
          <w:szCs w:val="28"/>
          <w:lang w:val="en-US"/>
        </w:rPr>
        <w:t>use</w:t>
      </w:r>
      <w:r w:rsidR="004B1CD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international and national </w:t>
      </w:r>
      <w:r w:rsidR="004B1CD4"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legal </w:t>
      </w:r>
      <w:r w:rsidR="00A65130">
        <w:rPr>
          <w:rFonts w:ascii="Times New Roman" w:eastAsia="Calibri" w:hAnsi="Times New Roman" w:cs="Times New Roman"/>
          <w:sz w:val="24"/>
          <w:szCs w:val="28"/>
          <w:lang w:val="en-US"/>
        </w:rPr>
        <w:t>provisions</w:t>
      </w:r>
      <w:r w:rsidR="004B1CD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292CD5">
        <w:rPr>
          <w:rFonts w:ascii="Times New Roman" w:eastAsia="Calibri" w:hAnsi="Times New Roman" w:cs="Times New Roman"/>
          <w:sz w:val="24"/>
          <w:szCs w:val="28"/>
          <w:lang w:val="en-US"/>
        </w:rPr>
        <w:t>related to</w:t>
      </w: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63647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regulation of </w:t>
      </w:r>
      <w:r w:rsidRPr="00356F2F">
        <w:rPr>
          <w:rFonts w:ascii="Times New Roman" w:eastAsia="Calibri" w:hAnsi="Times New Roman" w:cs="Times New Roman"/>
          <w:sz w:val="24"/>
          <w:szCs w:val="28"/>
          <w:lang w:val="en-US"/>
        </w:rPr>
        <w:t>economic and social processes.</w:t>
      </w:r>
      <w:r w:rsidR="00A4419D" w:rsidRPr="00A4419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A77705" w:rsidRDefault="00A77705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606954" w:rsidRDefault="00E86887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356F2F">
        <w:rPr>
          <w:rFonts w:ascii="Times New Roman" w:eastAsia="Calibri" w:hAnsi="Times New Roman" w:cs="Times New Roman"/>
          <w:b/>
          <w:sz w:val="24"/>
          <w:szCs w:val="28"/>
          <w:lang w:val="en-US"/>
        </w:rPr>
        <w:t>Key didactic units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Fundamental</w:t>
      </w:r>
      <w:r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s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and basic concepts of international taxation;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proofErr w:type="gramStart"/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The concept of territoriality and residency in international tax relations.</w:t>
      </w:r>
      <w:proofErr w:type="gramEnd"/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  <w:r w:rsidR="004E7B25"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The</w:t>
      </w:r>
      <w:r w:rsidR="004E7B25" w:rsidRPr="004E7B25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  <w:r w:rsidR="004E7B25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taxpayer's nationality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;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International double taxation and </w:t>
      </w:r>
      <w:r w:rsidR="004F17A7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ways to 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eliminat</w:t>
      </w:r>
      <w:r w:rsidR="004F17A7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e it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;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proofErr w:type="gramStart"/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Economic double taxation.</w:t>
      </w:r>
      <w:proofErr w:type="gramEnd"/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  <w:r w:rsidR="00FE0F87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Nations’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approaches to its elimination;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Typology of tax systems included in the international tax competition;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Transfer pricing </w:t>
      </w:r>
      <w:r w:rsidR="00876EC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and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the </w:t>
      </w:r>
      <w:r w:rsidR="00876EC2"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international taxation 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system;</w:t>
      </w:r>
    </w:p>
    <w:p w:rsidR="00606954" w:rsidRPr="00606954" w:rsidRDefault="0060695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Tax agreements </w:t>
      </w:r>
      <w:r w:rsidR="00876EC2" w:rsidRPr="00876EC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and the international taxation system</w:t>
      </w:r>
      <w:r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;</w:t>
      </w:r>
    </w:p>
    <w:p w:rsidR="00606954" w:rsidRPr="00EB0264" w:rsidRDefault="00480DD9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Steps taken on n</w:t>
      </w:r>
      <w:r w:rsidR="00876EC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ational </w:t>
      </w:r>
      <w:r w:rsidR="00606954"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and international </w:t>
      </w:r>
      <w:r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level </w:t>
      </w:r>
      <w:r w:rsidR="00606954" w:rsidRPr="00606954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to counteract tax evasion.</w:t>
      </w:r>
      <w:proofErr w:type="gramEnd"/>
      <w:r w:rsidR="00876EC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</w:p>
    <w:p w:rsidR="00EB0264" w:rsidRPr="00EB0264" w:rsidRDefault="00EB0264" w:rsidP="00A7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</w:p>
    <w:p w:rsidR="00E86887" w:rsidRDefault="00E86887" w:rsidP="00A7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E86887">
        <w:rPr>
          <w:rFonts w:ascii="Times New Roman" w:eastAsia="Calibri" w:hAnsi="Times New Roman" w:cs="Times New Roman"/>
          <w:b/>
          <w:sz w:val="24"/>
          <w:szCs w:val="28"/>
          <w:lang w:val="en-US"/>
        </w:rPr>
        <w:t>Place of the discipline within the curriculum</w:t>
      </w:r>
    </w:p>
    <w:p w:rsidR="00EB0264" w:rsidRPr="001258F3" w:rsidRDefault="00993E0D" w:rsidP="00A77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is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part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general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training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module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within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curriculum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program</w:t>
      </w:r>
      <w:r w:rsidR="008F1C2B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E86887" w:rsidRPr="008F1C2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38.04.01 </w:t>
      </w:r>
      <w:r w:rsidR="008F1C2B">
        <w:rPr>
          <w:rFonts w:ascii="Times New Roman" w:eastAsia="Calibri" w:hAnsi="Times New Roman" w:cs="Times New Roman"/>
          <w:sz w:val="24"/>
          <w:szCs w:val="28"/>
          <w:lang w:val="en-US"/>
        </w:rPr>
        <w:t>in Economics</w:t>
      </w:r>
      <w:r w:rsidR="00AC7868">
        <w:rPr>
          <w:rFonts w:ascii="Times New Roman" w:eastAsia="Calibri" w:hAnsi="Times New Roman" w:cs="Times New Roman"/>
          <w:sz w:val="24"/>
          <w:szCs w:val="28"/>
          <w:lang w:val="en-US"/>
        </w:rPr>
        <w:t>. The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C7868"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C7868">
        <w:rPr>
          <w:rFonts w:ascii="Times New Roman" w:eastAsia="Calibri" w:hAnsi="Times New Roman" w:cs="Times New Roman"/>
          <w:sz w:val="24"/>
          <w:szCs w:val="28"/>
          <w:lang w:val="en-US"/>
        </w:rPr>
        <w:t>ensures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C7868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>-</w:t>
      </w:r>
      <w:r w:rsidR="00AC7868">
        <w:rPr>
          <w:rFonts w:ascii="Times New Roman" w:eastAsia="Calibri" w:hAnsi="Times New Roman" w:cs="Times New Roman"/>
          <w:sz w:val="24"/>
          <w:szCs w:val="28"/>
          <w:lang w:val="en-US"/>
        </w:rPr>
        <w:t>depth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C7868">
        <w:rPr>
          <w:rFonts w:ascii="Times New Roman" w:eastAsia="Calibri" w:hAnsi="Times New Roman" w:cs="Times New Roman"/>
          <w:sz w:val="24"/>
          <w:szCs w:val="28"/>
          <w:lang w:val="en-US"/>
        </w:rPr>
        <w:t>knowledge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25B11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D25B11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25B11">
        <w:rPr>
          <w:rFonts w:ascii="Times New Roman" w:eastAsia="Calibri" w:hAnsi="Times New Roman" w:cs="Times New Roman"/>
          <w:sz w:val="24"/>
          <w:szCs w:val="28"/>
          <w:lang w:val="en-US"/>
        </w:rPr>
        <w:t>international</w:t>
      </w:r>
      <w:r w:rsidR="00D25B11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25B11">
        <w:rPr>
          <w:rFonts w:ascii="Times New Roman" w:eastAsia="Calibri" w:hAnsi="Times New Roman" w:cs="Times New Roman"/>
          <w:sz w:val="24"/>
          <w:szCs w:val="28"/>
          <w:lang w:val="en-US"/>
        </w:rPr>
        <w:t>financial</w:t>
      </w:r>
      <w:r w:rsidR="00D25B11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25B11">
        <w:rPr>
          <w:rFonts w:ascii="Times New Roman" w:eastAsia="Calibri" w:hAnsi="Times New Roman" w:cs="Times New Roman"/>
          <w:sz w:val="24"/>
          <w:szCs w:val="28"/>
          <w:lang w:val="en-US"/>
        </w:rPr>
        <w:t>and</w:t>
      </w:r>
      <w:r w:rsidR="00D25B11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25B11">
        <w:rPr>
          <w:rFonts w:ascii="Times New Roman" w:eastAsia="Calibri" w:hAnsi="Times New Roman" w:cs="Times New Roman"/>
          <w:sz w:val="24"/>
          <w:szCs w:val="28"/>
          <w:lang w:val="en-US"/>
        </w:rPr>
        <w:t>tax</w:t>
      </w:r>
      <w:r w:rsidR="00D25B11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25B11">
        <w:rPr>
          <w:rFonts w:ascii="Times New Roman" w:eastAsia="Calibri" w:hAnsi="Times New Roman" w:cs="Times New Roman"/>
          <w:sz w:val="24"/>
          <w:szCs w:val="28"/>
          <w:lang w:val="en-US"/>
        </w:rPr>
        <w:t>relations.</w:t>
      </w:r>
      <w:r w:rsidR="00D25B11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C7868" w:rsidRPr="00D25B1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A77705" w:rsidRDefault="00A77705" w:rsidP="00A777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B0264" w:rsidRPr="00EB0264" w:rsidRDefault="00E86887" w:rsidP="00A777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40765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  <w:r w:rsidR="00EB0264" w:rsidRPr="00EB026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EB0264" w:rsidRPr="001258F3" w:rsidRDefault="001258F3" w:rsidP="00A777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77705">
        <w:rPr>
          <w:rFonts w:ascii="Times New Roman" w:eastAsia="Calibri" w:hAnsi="Times New Roman" w:cs="Times New Roman"/>
          <w:i/>
          <w:sz w:val="24"/>
          <w:szCs w:val="28"/>
          <w:lang w:val="en-US"/>
        </w:rPr>
        <w:t>Know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content of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</w:t>
      </w:r>
      <w:r w:rsidR="003F3B8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regulations and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other </w:t>
      </w:r>
      <w:r w:rsidR="003F3B8F">
        <w:rPr>
          <w:rFonts w:ascii="Times New Roman" w:eastAsia="Calibri" w:hAnsi="Times New Roman" w:cs="Times New Roman"/>
          <w:sz w:val="24"/>
          <w:szCs w:val="28"/>
          <w:lang w:val="en-US"/>
        </w:rPr>
        <w:t>laws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that regulate </w:t>
      </w:r>
      <w:r w:rsidR="00886A6A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taxation and tax administration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>procedur</w:t>
      </w:r>
      <w:r w:rsidR="003F3B8F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3F3B8F">
        <w:rPr>
          <w:rFonts w:ascii="Times New Roman" w:eastAsia="Calibri" w:hAnsi="Times New Roman" w:cs="Times New Roman"/>
          <w:sz w:val="24"/>
          <w:szCs w:val="28"/>
          <w:lang w:val="en-US"/>
        </w:rPr>
        <w:t>and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the arbitration practice of resolving certain issues arising </w:t>
      </w:r>
      <w:r w:rsidR="00AE6C3D">
        <w:rPr>
          <w:rFonts w:ascii="Times New Roman" w:eastAsia="Calibri" w:hAnsi="Times New Roman" w:cs="Times New Roman"/>
          <w:sz w:val="24"/>
          <w:szCs w:val="28"/>
          <w:lang w:val="en-US"/>
        </w:rPr>
        <w:t>from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E6C3D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general </w:t>
      </w:r>
      <w:r w:rsidR="00AE6C3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</w:t>
      </w:r>
      <w:r w:rsidR="00AE6C3D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administration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>procedur</w:t>
      </w:r>
      <w:r w:rsidR="00AE6C3D">
        <w:rPr>
          <w:rFonts w:ascii="Times New Roman" w:eastAsia="Calibri" w:hAnsi="Times New Roman" w:cs="Times New Roman"/>
          <w:sz w:val="24"/>
          <w:szCs w:val="28"/>
          <w:lang w:val="en-US"/>
        </w:rPr>
        <w:t>e.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E6C3D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EB0264" w:rsidRPr="001258F3" w:rsidRDefault="001258F3" w:rsidP="00A777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77705">
        <w:rPr>
          <w:rFonts w:ascii="Times New Roman" w:eastAsia="Calibri" w:hAnsi="Times New Roman" w:cs="Times New Roman"/>
          <w:i/>
          <w:sz w:val="24"/>
          <w:szCs w:val="28"/>
          <w:lang w:val="en-US"/>
        </w:rPr>
        <w:t>To be able to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apply 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provisions of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>law and other laws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use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>instructi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>ons</w:t>
      </w:r>
      <w:r w:rsidR="004932C7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methodological materials </w:t>
      </w:r>
      <w:r w:rsidR="004932C7">
        <w:rPr>
          <w:rFonts w:ascii="Times New Roman" w:eastAsia="Calibri" w:hAnsi="Times New Roman" w:cs="Times New Roman"/>
          <w:sz w:val="24"/>
          <w:szCs w:val="28"/>
          <w:lang w:val="en-US"/>
        </w:rPr>
        <w:t>and</w:t>
      </w:r>
      <w:r w:rsidR="004932C7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932C7">
        <w:rPr>
          <w:rFonts w:ascii="Times New Roman" w:eastAsia="Calibri" w:hAnsi="Times New Roman" w:cs="Times New Roman"/>
          <w:sz w:val="24"/>
          <w:szCs w:val="28"/>
          <w:lang w:val="en-US"/>
        </w:rPr>
        <w:t>explanatory statements</w:t>
      </w:r>
      <w:r w:rsidR="004932C7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the Ministry of Finance and the Federal Tax Service of 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>Russia</w:t>
      </w:r>
      <w:r w:rsidR="00432766">
        <w:rPr>
          <w:rFonts w:ascii="Times New Roman" w:eastAsia="Calibri" w:hAnsi="Times New Roman" w:cs="Times New Roman"/>
          <w:sz w:val="24"/>
          <w:szCs w:val="28"/>
          <w:lang w:val="en-US"/>
        </w:rPr>
        <w:t>n Federation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order to </w:t>
      </w:r>
      <w:r w:rsidR="000C4CBA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consult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>taxpayers on tax</w:t>
      </w:r>
      <w:r w:rsidR="0052669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law and tax administration procedure;  </w:t>
      </w:r>
    </w:p>
    <w:p w:rsidR="0001559B" w:rsidRPr="001258F3" w:rsidRDefault="003D25C0" w:rsidP="00A7770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77705">
        <w:rPr>
          <w:rFonts w:ascii="Times New Roman" w:eastAsia="Calibri" w:hAnsi="Times New Roman" w:cs="Times New Roman"/>
          <w:i/>
          <w:sz w:val="24"/>
          <w:szCs w:val="28"/>
          <w:lang w:val="en-US"/>
        </w:rPr>
        <w:t>Have</w:t>
      </w:r>
      <w:r w:rsidRPr="00A777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knowledge of </w:t>
      </w:r>
      <w:r w:rsidR="001258F3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methods and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techniques</w:t>
      </w:r>
      <w:r w:rsidR="001258F3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of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tax </w:t>
      </w:r>
      <w:r w:rsidR="004932C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consulting </w:t>
      </w:r>
      <w:r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and tax administration </w:t>
      </w:r>
      <w:r w:rsidR="001258F3" w:rsidRPr="001258F3">
        <w:rPr>
          <w:rFonts w:ascii="Times New Roman" w:eastAsia="Calibri" w:hAnsi="Times New Roman" w:cs="Times New Roman"/>
          <w:sz w:val="24"/>
          <w:szCs w:val="28"/>
          <w:lang w:val="en-US"/>
        </w:rPr>
        <w:t>consulting.</w:t>
      </w:r>
    </w:p>
    <w:p w:rsidR="00A77705" w:rsidRDefault="00A77705" w:rsidP="00A7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EB0264" w:rsidRPr="00A77705" w:rsidRDefault="0040765B" w:rsidP="00A77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A77705"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Course structure</w:t>
      </w:r>
      <w:r w:rsidR="00A77705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r w:rsidR="0001559B" w:rsidRPr="00A777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Lectures, </w:t>
      </w:r>
      <w:proofErr w:type="spellStart"/>
      <w:r w:rsidR="0001559B" w:rsidRPr="00A77705">
        <w:rPr>
          <w:rFonts w:ascii="Times New Roman" w:eastAsia="Calibri" w:hAnsi="Times New Roman" w:cs="Times New Roman"/>
          <w:sz w:val="24"/>
          <w:szCs w:val="28"/>
          <w:lang w:val="en-US"/>
        </w:rPr>
        <w:t>practicals</w:t>
      </w:r>
      <w:proofErr w:type="spellEnd"/>
      <w:r w:rsidR="0001559B" w:rsidRPr="00A7770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seminars and essays.   </w:t>
      </w:r>
    </w:p>
    <w:p w:rsidR="00A77705" w:rsidRDefault="00A77705" w:rsidP="00A777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333534" w:rsidRPr="00EB0264" w:rsidRDefault="0040765B" w:rsidP="00A77705">
      <w:pPr>
        <w:spacing w:after="0" w:line="240" w:lineRule="auto"/>
        <w:rPr>
          <w:sz w:val="20"/>
        </w:rPr>
      </w:pPr>
      <w:proofErr w:type="spellStart"/>
      <w:r w:rsidRPr="00A77705">
        <w:rPr>
          <w:rFonts w:ascii="Times New Roman" w:eastAsia="Calibri" w:hAnsi="Times New Roman" w:cs="Times New Roman"/>
          <w:b/>
          <w:sz w:val="24"/>
          <w:szCs w:val="28"/>
        </w:rPr>
        <w:t>Summative</w:t>
      </w:r>
      <w:proofErr w:type="spellEnd"/>
      <w:r w:rsidRPr="00A77705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spellStart"/>
      <w:r w:rsidRPr="00A77705">
        <w:rPr>
          <w:rFonts w:ascii="Times New Roman" w:eastAsia="Calibri" w:hAnsi="Times New Roman" w:cs="Times New Roman"/>
          <w:b/>
          <w:sz w:val="24"/>
          <w:szCs w:val="28"/>
        </w:rPr>
        <w:t>assessment</w:t>
      </w:r>
      <w:proofErr w:type="spellEnd"/>
      <w:r w:rsidRPr="0040765B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spellStart"/>
      <w:r w:rsidRPr="0040765B">
        <w:rPr>
          <w:rFonts w:ascii="Times New Roman" w:eastAsia="Calibri" w:hAnsi="Times New Roman" w:cs="Times New Roman"/>
          <w:sz w:val="24"/>
          <w:szCs w:val="28"/>
        </w:rPr>
        <w:t>pass</w:t>
      </w:r>
      <w:proofErr w:type="spellEnd"/>
      <w:r w:rsidRPr="0040765B">
        <w:rPr>
          <w:rFonts w:ascii="Times New Roman" w:eastAsia="Calibri" w:hAnsi="Times New Roman" w:cs="Times New Roman"/>
          <w:sz w:val="24"/>
          <w:szCs w:val="28"/>
        </w:rPr>
        <w:t>/</w:t>
      </w:r>
      <w:proofErr w:type="spellStart"/>
      <w:r w:rsidRPr="0040765B">
        <w:rPr>
          <w:rFonts w:ascii="Times New Roman" w:eastAsia="Calibri" w:hAnsi="Times New Roman" w:cs="Times New Roman"/>
          <w:sz w:val="24"/>
          <w:szCs w:val="28"/>
        </w:rPr>
        <w:t>fail</w:t>
      </w:r>
      <w:proofErr w:type="spellEnd"/>
      <w:r w:rsidRPr="0040765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40765B">
        <w:rPr>
          <w:rFonts w:ascii="Times New Roman" w:eastAsia="Calibri" w:hAnsi="Times New Roman" w:cs="Times New Roman"/>
          <w:sz w:val="24"/>
          <w:szCs w:val="28"/>
        </w:rPr>
        <w:t>examination</w:t>
      </w:r>
      <w:proofErr w:type="spellEnd"/>
    </w:p>
    <w:sectPr w:rsidR="00333534" w:rsidRPr="00EB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536"/>
    <w:multiLevelType w:val="hybridMultilevel"/>
    <w:tmpl w:val="7302A0E0"/>
    <w:lvl w:ilvl="0" w:tplc="2DD6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4"/>
    <w:rsid w:val="0001559B"/>
    <w:rsid w:val="000C4CBA"/>
    <w:rsid w:val="001258F3"/>
    <w:rsid w:val="00144275"/>
    <w:rsid w:val="0016369F"/>
    <w:rsid w:val="001930EF"/>
    <w:rsid w:val="00292CD5"/>
    <w:rsid w:val="002F1C77"/>
    <w:rsid w:val="00333534"/>
    <w:rsid w:val="00356F2F"/>
    <w:rsid w:val="003D25C0"/>
    <w:rsid w:val="003F3B8F"/>
    <w:rsid w:val="0040765B"/>
    <w:rsid w:val="00432766"/>
    <w:rsid w:val="00480DD9"/>
    <w:rsid w:val="004932C7"/>
    <w:rsid w:val="004B1CD4"/>
    <w:rsid w:val="004C716C"/>
    <w:rsid w:val="004E7B25"/>
    <w:rsid w:val="004F17A7"/>
    <w:rsid w:val="00526696"/>
    <w:rsid w:val="00606954"/>
    <w:rsid w:val="00636473"/>
    <w:rsid w:val="00876EC2"/>
    <w:rsid w:val="00882652"/>
    <w:rsid w:val="00886A6A"/>
    <w:rsid w:val="008F1C2B"/>
    <w:rsid w:val="00993E0D"/>
    <w:rsid w:val="00994677"/>
    <w:rsid w:val="00A4419D"/>
    <w:rsid w:val="00A65130"/>
    <w:rsid w:val="00A77705"/>
    <w:rsid w:val="00AC7868"/>
    <w:rsid w:val="00AE6C3D"/>
    <w:rsid w:val="00AE74C1"/>
    <w:rsid w:val="00D25B11"/>
    <w:rsid w:val="00DE4338"/>
    <w:rsid w:val="00E86887"/>
    <w:rsid w:val="00EB0264"/>
    <w:rsid w:val="00FD5998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9960F-0F33-4800-B634-0396C55AD153}"/>
</file>

<file path=customXml/itemProps2.xml><?xml version="1.0" encoding="utf-8"?>
<ds:datastoreItem xmlns:ds="http://schemas.openxmlformats.org/officeDocument/2006/customXml" ds:itemID="{4F797C3B-63C0-4945-B488-60F0C798F2D1}"/>
</file>

<file path=customXml/itemProps3.xml><?xml version="1.0" encoding="utf-8"?>
<ds:datastoreItem xmlns:ds="http://schemas.openxmlformats.org/officeDocument/2006/customXml" ds:itemID="{9E5B6D7F-3F5F-4C01-9EA4-9F9AA9253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2018-08-09T07:22:00Z</dcterms:created>
  <dcterms:modified xsi:type="dcterms:W3CDTF">2018-08-09T07:22:00Z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